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1D02115D" w:rsidR="00E66558" w:rsidRDefault="00153676">
      <w:pPr>
        <w:pStyle w:val="Heading1"/>
      </w:pPr>
      <w:bookmarkStart w:id="0" w:name="_Toc400361362"/>
      <w:bookmarkStart w:id="1" w:name="_Toc443397153"/>
      <w:bookmarkStart w:id="2" w:name="_Toc357771638"/>
      <w:bookmarkStart w:id="3" w:name="_Toc346793416"/>
      <w:bookmarkStart w:id="4" w:name="_Toc328122777"/>
      <w:r w:rsidRPr="00E130FC">
        <w:rPr>
          <w:noProof/>
          <w:sz w:val="28"/>
        </w:rPr>
        <w:drawing>
          <wp:anchor distT="0" distB="0" distL="114300" distR="114300" simplePos="0" relativeHeight="251659264" behindDoc="0" locked="0" layoutInCell="1" allowOverlap="1" wp14:anchorId="02078E5B" wp14:editId="62DFE712">
            <wp:simplePos x="0" y="0"/>
            <wp:positionH relativeFrom="margin">
              <wp:posOffset>5195073</wp:posOffset>
            </wp:positionH>
            <wp:positionV relativeFrom="paragraph">
              <wp:posOffset>276</wp:posOffset>
            </wp:positionV>
            <wp:extent cx="1120775" cy="101219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20775" cy="1012190"/>
                    </a:xfrm>
                    <a:prstGeom prst="rect">
                      <a:avLst/>
                    </a:prstGeom>
                  </pic:spPr>
                </pic:pic>
              </a:graphicData>
            </a:graphic>
            <wp14:sizeRelH relativeFrom="margin">
              <wp14:pctWidth>0</wp14:pctWidth>
            </wp14:sizeRelH>
            <wp14:sizeRelV relativeFrom="margin">
              <wp14:pctHeight>0</wp14:pctHeight>
            </wp14:sizeRelV>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759F1C1" w:rsidR="00E66558" w:rsidRDefault="009D71E8">
      <w:pPr>
        <w:pStyle w:val="Heading2"/>
        <w:rPr>
          <w:b w:val="0"/>
          <w:bCs/>
          <w:color w:val="auto"/>
          <w:sz w:val="24"/>
          <w:szCs w:val="24"/>
        </w:rPr>
      </w:pPr>
      <w:r>
        <w:rPr>
          <w:b w:val="0"/>
          <w:bCs/>
          <w:color w:val="auto"/>
          <w:sz w:val="24"/>
          <w:szCs w:val="24"/>
        </w:rPr>
        <w:t>This statement details our school’s use of pupil premium funding to help improve the attainment of our disadvantaged pupils</w:t>
      </w:r>
      <w:r w:rsidR="00702AEB">
        <w:rPr>
          <w:b w:val="0"/>
          <w:bCs/>
          <w:color w:val="auto"/>
          <w:sz w:val="24"/>
          <w:szCs w:val="24"/>
        </w:rPr>
        <w:t xml:space="preserve"> for the </w:t>
      </w:r>
      <w:r w:rsidR="00A5505F">
        <w:rPr>
          <w:b w:val="0"/>
          <w:bCs/>
          <w:color w:val="auto"/>
          <w:sz w:val="24"/>
          <w:szCs w:val="24"/>
        </w:rPr>
        <w:t>2024-2025</w:t>
      </w:r>
      <w:r w:rsidR="00702AEB">
        <w:rPr>
          <w:b w:val="0"/>
          <w:bCs/>
          <w:color w:val="auto"/>
          <w:sz w:val="24"/>
          <w:szCs w:val="24"/>
        </w:rPr>
        <w:t xml:space="preserve"> academic year.</w:t>
      </w:r>
      <w:r w:rsidR="00153676" w:rsidRPr="00153676">
        <w:rPr>
          <w:noProof/>
          <w:sz w:val="28"/>
        </w:rPr>
        <w:t xml:space="preserve">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542AAA2" w:rsidR="00E66558" w:rsidRDefault="004A194A">
            <w:pPr>
              <w:pStyle w:val="TableRow"/>
            </w:pPr>
            <w:r>
              <w:t xml:space="preserve">St Anne’s Primary </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08B0A3F" w:rsidR="00E66558" w:rsidRDefault="00EF4F5A">
            <w:pPr>
              <w:pStyle w:val="TableRow"/>
            </w:pPr>
            <w:r>
              <w:t>2</w:t>
            </w:r>
            <w:r w:rsidR="006E1F0C">
              <w:t>52</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EEEBD" w14:textId="5006F9CC" w:rsidR="00EF4F5A" w:rsidRPr="009055EE" w:rsidRDefault="009055EE" w:rsidP="009055EE">
            <w:pPr>
              <w:shd w:val="clear" w:color="auto" w:fill="FFFFFF"/>
              <w:suppressAutoHyphens w:val="0"/>
              <w:autoSpaceDN/>
              <w:spacing w:after="0" w:line="257" w:lineRule="atLeast"/>
              <w:rPr>
                <w:rFonts w:ascii="Calibri" w:hAnsi="Calibri" w:cs="Calibri"/>
                <w:color w:val="242424"/>
                <w:sz w:val="36"/>
              </w:rPr>
            </w:pPr>
            <w:r w:rsidRPr="009055EE">
              <w:rPr>
                <w:rFonts w:ascii="Calibri" w:hAnsi="Calibri" w:cs="Calibri"/>
                <w:color w:val="242424"/>
                <w:szCs w:val="18"/>
                <w:bdr w:val="none" w:sz="0" w:space="0" w:color="auto" w:frame="1"/>
              </w:rPr>
              <w:t xml:space="preserve">FSM6: </w:t>
            </w:r>
            <w:r w:rsidR="006E1F0C">
              <w:rPr>
                <w:rFonts w:ascii="Calibri" w:hAnsi="Calibri" w:cs="Calibri"/>
                <w:color w:val="242424"/>
                <w:szCs w:val="18"/>
                <w:bdr w:val="none" w:sz="0" w:space="0" w:color="auto" w:frame="1"/>
              </w:rPr>
              <w:t>16.3</w:t>
            </w:r>
            <w:r w:rsidRPr="009055EE">
              <w:rPr>
                <w:rFonts w:ascii="Calibri" w:hAnsi="Calibri" w:cs="Calibri"/>
                <w:color w:val="242424"/>
                <w:szCs w:val="18"/>
                <w:bdr w:val="none" w:sz="0" w:space="0" w:color="auto" w:frame="1"/>
              </w:rPr>
              <w:t>% (</w:t>
            </w:r>
            <w:r w:rsidR="006E1F0C">
              <w:rPr>
                <w:rFonts w:ascii="Calibri" w:hAnsi="Calibri" w:cs="Calibri"/>
                <w:color w:val="242424"/>
                <w:szCs w:val="18"/>
                <w:bdr w:val="none" w:sz="0" w:space="0" w:color="auto" w:frame="1"/>
              </w:rPr>
              <w:t>41</w:t>
            </w:r>
            <w:r w:rsidRPr="009055EE">
              <w:rPr>
                <w:rFonts w:ascii="Calibri" w:hAnsi="Calibri" w:cs="Calibri"/>
                <w:color w:val="242424"/>
                <w:szCs w:val="18"/>
                <w:bdr w:val="none" w:sz="0" w:space="0" w:color="auto" w:frame="1"/>
              </w:rPr>
              <w:t xml:space="preserve"> children) </w:t>
            </w:r>
          </w:p>
          <w:p w14:paraId="2A7D54BF" w14:textId="36A9EEBC" w:rsidR="00EF4F5A" w:rsidRDefault="00EF4F5A" w:rsidP="009055EE">
            <w:pPr>
              <w:pStyle w:val="TableRow"/>
              <w:ind w:left="0"/>
            </w:pP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83C27B0" w:rsidR="00E66558" w:rsidRDefault="006E1F0C">
            <w:pPr>
              <w:pStyle w:val="TableRow"/>
            </w:pPr>
            <w:r>
              <w:t>2024-2027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CB64D42" w:rsidR="00E66558" w:rsidRDefault="009055EE">
            <w:pPr>
              <w:pStyle w:val="TableRow"/>
            </w:pPr>
            <w:r>
              <w:t>December 202</w:t>
            </w:r>
            <w:r w:rsidR="006E1F0C">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09910BF" w:rsidR="00E66558" w:rsidRDefault="009055EE">
            <w:pPr>
              <w:pStyle w:val="TableRow"/>
            </w:pPr>
            <w:r>
              <w:t>December 202</w:t>
            </w:r>
            <w:r w:rsidR="006E1F0C">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DE07D87" w:rsidR="00E66558" w:rsidRDefault="00B64E8F">
            <w:pPr>
              <w:pStyle w:val="TableRow"/>
            </w:pPr>
            <w:r>
              <w:t>Joanne Harvey</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EB62395" w:rsidR="00E66558" w:rsidRDefault="004A194A">
            <w:pPr>
              <w:pStyle w:val="TableRow"/>
            </w:pPr>
            <w:r>
              <w:t>Rosie Stanton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4BEA8B6" w:rsidR="00E66558" w:rsidRDefault="00B64E8F">
            <w:pPr>
              <w:pStyle w:val="TableRow"/>
            </w:pPr>
            <w:r>
              <w:t xml:space="preserve">John Nicholls </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06065EB" w:rsidR="00E66558" w:rsidRDefault="009D71E8">
            <w:pPr>
              <w:pStyle w:val="TableRow"/>
            </w:pPr>
            <w:r>
              <w:t>£</w:t>
            </w:r>
            <w:r w:rsidR="006E1F0C">
              <w:t>47,980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D002B0B" w:rsidR="00E66558" w:rsidRDefault="009D71E8">
            <w:pPr>
              <w:pStyle w:val="TableRow"/>
            </w:pPr>
            <w:r>
              <w:t>£</w:t>
            </w:r>
            <w:r w:rsidR="00761BD7">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C0932D5" w:rsidR="00E66558" w:rsidRDefault="009D71E8">
            <w:pPr>
              <w:pStyle w:val="TableRow"/>
            </w:pPr>
            <w:r>
              <w:t>£</w:t>
            </w:r>
            <w:r w:rsidR="004A194A">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C4ABE40" w:rsidR="00E66558" w:rsidRDefault="006E1F0C">
            <w:pPr>
              <w:pStyle w:val="TableRow"/>
            </w:pPr>
            <w:r>
              <w:t>£47,980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E4434" w14:textId="77777777" w:rsidR="00761BD7" w:rsidRDefault="00761BD7" w:rsidP="00761BD7">
            <w:pPr>
              <w:rPr>
                <w:rFonts w:ascii="Tahoma" w:hAnsi="Tahoma" w:cs="Tahoma"/>
                <w:sz w:val="22"/>
              </w:rPr>
            </w:pPr>
            <w:r w:rsidRPr="008D44AD">
              <w:rPr>
                <w:rFonts w:ascii="Tahoma" w:hAnsi="Tahoma" w:cs="Tahoma"/>
                <w:sz w:val="22"/>
              </w:rPr>
              <w:t xml:space="preserve">At </w:t>
            </w:r>
            <w:r>
              <w:rPr>
                <w:rFonts w:ascii="Tahoma" w:hAnsi="Tahoma" w:cs="Tahoma"/>
                <w:sz w:val="22"/>
              </w:rPr>
              <w:t>St Anne’s CE</w:t>
            </w:r>
            <w:r w:rsidRPr="008D44AD">
              <w:rPr>
                <w:rFonts w:ascii="Tahoma" w:hAnsi="Tahoma" w:cs="Tahoma"/>
                <w:sz w:val="22"/>
              </w:rPr>
              <w:t xml:space="preserve"> Primary School</w:t>
            </w:r>
            <w:r>
              <w:rPr>
                <w:rFonts w:ascii="Tahoma" w:hAnsi="Tahoma" w:cs="Tahoma"/>
                <w:sz w:val="22"/>
              </w:rPr>
              <w:t>,</w:t>
            </w:r>
            <w:r w:rsidRPr="008D44AD">
              <w:rPr>
                <w:rFonts w:ascii="Tahoma" w:hAnsi="Tahoma" w:cs="Tahoma"/>
                <w:sz w:val="22"/>
              </w:rPr>
              <w:t xml:space="preserve"> we aim for all of our children to come to school feeling happy and safe, engaged in the learning they have on offer within the classroom and enthusiastic about the opportunities they are presented with throughout their Primary school journey. We strive to ensure that all children to have access to high quality teaching and adult support, through both in class and targeted intervention programmes. At </w:t>
            </w:r>
            <w:r>
              <w:rPr>
                <w:rFonts w:ascii="Tahoma" w:hAnsi="Tahoma" w:cs="Tahoma"/>
                <w:sz w:val="22"/>
              </w:rPr>
              <w:t>St Anne’s CE</w:t>
            </w:r>
            <w:r w:rsidRPr="008D44AD">
              <w:rPr>
                <w:rFonts w:ascii="Tahoma" w:hAnsi="Tahoma" w:cs="Tahoma"/>
                <w:sz w:val="22"/>
              </w:rPr>
              <w:t xml:space="preserve"> Primary School</w:t>
            </w:r>
            <w:r>
              <w:rPr>
                <w:rFonts w:ascii="Tahoma" w:hAnsi="Tahoma" w:cs="Tahoma"/>
                <w:sz w:val="22"/>
              </w:rPr>
              <w:t>,</w:t>
            </w:r>
            <w:r w:rsidRPr="008D44AD">
              <w:rPr>
                <w:rFonts w:ascii="Tahoma" w:hAnsi="Tahoma" w:cs="Tahoma"/>
                <w:sz w:val="22"/>
              </w:rPr>
              <w:t xml:space="preserve"> we aim to close the gap between pupils in receipt of pupil premium and </w:t>
            </w:r>
            <w:r>
              <w:rPr>
                <w:rFonts w:ascii="Tahoma" w:hAnsi="Tahoma" w:cs="Tahoma"/>
                <w:sz w:val="22"/>
              </w:rPr>
              <w:t>non-pupil premium pupils by closely monitoring individual</w:t>
            </w:r>
            <w:r w:rsidRPr="008D44AD">
              <w:rPr>
                <w:rFonts w:ascii="Tahoma" w:hAnsi="Tahoma" w:cs="Tahoma"/>
                <w:sz w:val="22"/>
              </w:rPr>
              <w:t xml:space="preserve"> achievements and adapting </w:t>
            </w:r>
            <w:r>
              <w:rPr>
                <w:rFonts w:ascii="Tahoma" w:hAnsi="Tahoma" w:cs="Tahoma"/>
                <w:sz w:val="22"/>
              </w:rPr>
              <w:t>teaching</w:t>
            </w:r>
            <w:r w:rsidRPr="008D44AD">
              <w:rPr>
                <w:rFonts w:ascii="Tahoma" w:hAnsi="Tahoma" w:cs="Tahoma"/>
                <w:sz w:val="22"/>
              </w:rPr>
              <w:t xml:space="preserve"> based on children’s needs. We want all children to achieve a good standard of education in the core areas of learning, as well as being able to celebrate their successes in the foundation subjects and wider school activities in which they participate. </w:t>
            </w:r>
          </w:p>
          <w:p w14:paraId="7C3B3908" w14:textId="77777777" w:rsidR="00761BD7" w:rsidRDefault="00761BD7" w:rsidP="00761BD7">
            <w:pPr>
              <w:rPr>
                <w:rFonts w:ascii="Tahoma" w:hAnsi="Tahoma" w:cs="Tahoma"/>
                <w:sz w:val="22"/>
              </w:rPr>
            </w:pPr>
            <w:r w:rsidRPr="008D44AD">
              <w:rPr>
                <w:rFonts w:ascii="Tahoma" w:hAnsi="Tahoma" w:cs="Tahoma"/>
                <w:sz w:val="22"/>
              </w:rPr>
              <w:t xml:space="preserve">At </w:t>
            </w:r>
            <w:r>
              <w:rPr>
                <w:rFonts w:ascii="Tahoma" w:hAnsi="Tahoma" w:cs="Tahoma"/>
                <w:sz w:val="22"/>
              </w:rPr>
              <w:t>St Anne’s CE</w:t>
            </w:r>
            <w:r w:rsidRPr="008D44AD">
              <w:rPr>
                <w:rFonts w:ascii="Tahoma" w:hAnsi="Tahoma" w:cs="Tahoma"/>
                <w:sz w:val="22"/>
              </w:rPr>
              <w:t xml:space="preserve"> Primary School</w:t>
            </w:r>
            <w:r>
              <w:rPr>
                <w:rFonts w:ascii="Tahoma" w:hAnsi="Tahoma" w:cs="Tahoma"/>
                <w:sz w:val="22"/>
              </w:rPr>
              <w:t>,</w:t>
            </w:r>
            <w:r w:rsidRPr="008D44AD">
              <w:rPr>
                <w:rFonts w:ascii="Tahoma" w:hAnsi="Tahoma" w:cs="Tahoma"/>
                <w:sz w:val="22"/>
              </w:rPr>
              <w:t xml:space="preserve"> we continue to prioritise children’s well-being and emotional development in order to make sure children come to school happy and healthy each day. By continuing to celebrate their successes, both academic and pastoral, and utilising the expertise of our </w:t>
            </w:r>
            <w:r w:rsidRPr="00037517">
              <w:rPr>
                <w:rFonts w:ascii="Tahoma" w:hAnsi="Tahoma" w:cs="Tahoma"/>
                <w:sz w:val="22"/>
              </w:rPr>
              <w:t>two</w:t>
            </w:r>
            <w:r w:rsidRPr="008D44AD">
              <w:rPr>
                <w:rFonts w:ascii="Tahoma" w:hAnsi="Tahoma" w:cs="Tahoma"/>
                <w:sz w:val="22"/>
              </w:rPr>
              <w:t xml:space="preserve"> trained ELSAs</w:t>
            </w:r>
            <w:r>
              <w:rPr>
                <w:rFonts w:ascii="Tahoma" w:hAnsi="Tahoma" w:cs="Tahoma"/>
                <w:sz w:val="22"/>
              </w:rPr>
              <w:t xml:space="preserve"> and our nurture provision</w:t>
            </w:r>
            <w:r w:rsidRPr="008D44AD">
              <w:rPr>
                <w:rFonts w:ascii="Tahoma" w:hAnsi="Tahoma" w:cs="Tahoma"/>
                <w:sz w:val="22"/>
              </w:rPr>
              <w:t>, we aim for children to have access to the support they need in a timely manner.</w:t>
            </w:r>
            <w:r>
              <w:rPr>
                <w:rFonts w:ascii="Tahoma" w:hAnsi="Tahoma" w:cs="Tahoma"/>
                <w:sz w:val="22"/>
              </w:rPr>
              <w:t xml:space="preserve"> </w:t>
            </w:r>
          </w:p>
          <w:p w14:paraId="0707E650" w14:textId="77777777" w:rsidR="00761BD7" w:rsidRDefault="00761BD7" w:rsidP="00761BD7">
            <w:pPr>
              <w:rPr>
                <w:rFonts w:ascii="Tahoma" w:hAnsi="Tahoma" w:cs="Tahoma"/>
                <w:sz w:val="22"/>
              </w:rPr>
            </w:pPr>
            <w:r>
              <w:rPr>
                <w:rFonts w:ascii="Tahoma" w:hAnsi="Tahoma" w:cs="Tahoma"/>
                <w:sz w:val="22"/>
              </w:rPr>
              <w:t xml:space="preserve">As reading is so central to the progress of children in all areas of the curriculum, we will continue to improve our approach to Early Reading, building on our recently reviewed system for early phonics and improving our resources and training for all staff. </w:t>
            </w:r>
          </w:p>
          <w:p w14:paraId="551B4F06" w14:textId="77777777" w:rsidR="00761BD7" w:rsidRDefault="00761BD7" w:rsidP="00761BD7">
            <w:pPr>
              <w:rPr>
                <w:rFonts w:ascii="Tahoma" w:hAnsi="Tahoma" w:cs="Tahoma"/>
                <w:sz w:val="22"/>
              </w:rPr>
            </w:pPr>
            <w:r>
              <w:rPr>
                <w:rFonts w:ascii="Tahoma" w:hAnsi="Tahoma" w:cs="Tahoma"/>
                <w:sz w:val="22"/>
              </w:rPr>
              <w:t>Our ultimate objectives are to:</w:t>
            </w:r>
          </w:p>
          <w:p w14:paraId="13B3695B" w14:textId="77777777" w:rsidR="00761BD7" w:rsidRPr="00916C8F" w:rsidRDefault="00761BD7" w:rsidP="00761BD7">
            <w:pPr>
              <w:pStyle w:val="ListParagraph"/>
              <w:numPr>
                <w:ilvl w:val="0"/>
                <w:numId w:val="14"/>
              </w:numPr>
              <w:rPr>
                <w:rFonts w:ascii="Tahoma" w:hAnsi="Tahoma" w:cs="Tahoma"/>
                <w:sz w:val="22"/>
              </w:rPr>
            </w:pPr>
            <w:r w:rsidRPr="00916C8F">
              <w:rPr>
                <w:rFonts w:ascii="Tahoma" w:hAnsi="Tahoma" w:cs="Tahoma"/>
                <w:sz w:val="22"/>
              </w:rPr>
              <w:t>Remove barriers to learning created by poverty, family circumstance and background</w:t>
            </w:r>
          </w:p>
          <w:p w14:paraId="64DD892B" w14:textId="77777777" w:rsidR="00761BD7" w:rsidRPr="00916C8F" w:rsidRDefault="00761BD7" w:rsidP="00761BD7">
            <w:pPr>
              <w:pStyle w:val="ListParagraph"/>
              <w:numPr>
                <w:ilvl w:val="0"/>
                <w:numId w:val="14"/>
              </w:numPr>
              <w:rPr>
                <w:rFonts w:ascii="Tahoma" w:hAnsi="Tahoma" w:cs="Tahoma"/>
                <w:sz w:val="22"/>
              </w:rPr>
            </w:pPr>
            <w:r w:rsidRPr="00916C8F">
              <w:rPr>
                <w:rFonts w:ascii="Tahoma" w:hAnsi="Tahoma" w:cs="Tahoma"/>
                <w:sz w:val="22"/>
              </w:rPr>
              <w:t>To close the attainment gap between disadvantaged and non-disadvantaged pupils</w:t>
            </w:r>
          </w:p>
          <w:p w14:paraId="21E430E8" w14:textId="77777777" w:rsidR="00761BD7" w:rsidRPr="00916C8F" w:rsidRDefault="00761BD7" w:rsidP="00761BD7">
            <w:pPr>
              <w:pStyle w:val="ListParagraph"/>
              <w:numPr>
                <w:ilvl w:val="0"/>
                <w:numId w:val="14"/>
              </w:numPr>
              <w:rPr>
                <w:rFonts w:ascii="Tahoma" w:hAnsi="Tahoma" w:cs="Tahoma"/>
                <w:sz w:val="22"/>
              </w:rPr>
            </w:pPr>
            <w:r w:rsidRPr="00916C8F">
              <w:rPr>
                <w:rFonts w:ascii="Tahoma" w:hAnsi="Tahoma" w:cs="Tahoma"/>
                <w:sz w:val="22"/>
              </w:rPr>
              <w:t>To ensure disadvantaged pupils reach age related expectations by the end of Y6</w:t>
            </w:r>
          </w:p>
          <w:p w14:paraId="4A34F88A" w14:textId="77777777" w:rsidR="00761BD7" w:rsidRPr="00916C8F" w:rsidRDefault="00761BD7" w:rsidP="00761BD7">
            <w:pPr>
              <w:pStyle w:val="ListParagraph"/>
              <w:numPr>
                <w:ilvl w:val="0"/>
                <w:numId w:val="14"/>
              </w:numPr>
              <w:rPr>
                <w:rFonts w:ascii="Tahoma" w:hAnsi="Tahoma" w:cs="Tahoma"/>
                <w:sz w:val="22"/>
              </w:rPr>
            </w:pPr>
            <w:r w:rsidRPr="00916C8F">
              <w:rPr>
                <w:rFonts w:ascii="Tahoma" w:hAnsi="Tahoma" w:cs="Tahoma"/>
                <w:sz w:val="22"/>
              </w:rPr>
              <w:t>Develop confidence in their ability to communicate effectively in a wide range of contexts</w:t>
            </w:r>
          </w:p>
          <w:p w14:paraId="6D2FB22D" w14:textId="77777777" w:rsidR="00761BD7" w:rsidRPr="00916C8F" w:rsidRDefault="00761BD7" w:rsidP="00761BD7">
            <w:pPr>
              <w:pStyle w:val="ListParagraph"/>
              <w:numPr>
                <w:ilvl w:val="0"/>
                <w:numId w:val="14"/>
              </w:numPr>
              <w:rPr>
                <w:rFonts w:ascii="Tahoma" w:hAnsi="Tahoma" w:cs="Tahoma"/>
                <w:sz w:val="22"/>
              </w:rPr>
            </w:pPr>
            <w:r w:rsidRPr="00916C8F">
              <w:rPr>
                <w:rFonts w:ascii="Tahoma" w:hAnsi="Tahoma" w:cs="Tahoma"/>
                <w:sz w:val="22"/>
              </w:rPr>
              <w:t>Enable pupils to look after their social and emotional wellbeing and to develop resilience</w:t>
            </w:r>
          </w:p>
          <w:p w14:paraId="59D365B4" w14:textId="77777777" w:rsidR="00761BD7" w:rsidRPr="00916C8F" w:rsidRDefault="00761BD7" w:rsidP="00761BD7">
            <w:pPr>
              <w:pStyle w:val="ListParagraph"/>
              <w:numPr>
                <w:ilvl w:val="0"/>
                <w:numId w:val="14"/>
              </w:numPr>
              <w:rPr>
                <w:rFonts w:ascii="Tahoma" w:hAnsi="Tahoma" w:cs="Tahoma"/>
                <w:sz w:val="22"/>
              </w:rPr>
            </w:pPr>
            <w:r w:rsidRPr="00916C8F">
              <w:rPr>
                <w:rFonts w:ascii="Tahoma" w:hAnsi="Tahoma" w:cs="Tahoma"/>
                <w:sz w:val="22"/>
              </w:rPr>
              <w:t>Provide them with access to a variety of exciting opportunities and a rich and varied curriculum.</w:t>
            </w:r>
          </w:p>
          <w:p w14:paraId="1DF17FE3" w14:textId="77777777" w:rsidR="00761BD7" w:rsidRDefault="00761BD7" w:rsidP="00761BD7">
            <w:pPr>
              <w:rPr>
                <w:rFonts w:ascii="Tahoma" w:hAnsi="Tahoma" w:cs="Tahoma"/>
                <w:sz w:val="22"/>
              </w:rPr>
            </w:pPr>
            <w:r>
              <w:rPr>
                <w:rFonts w:ascii="Tahoma" w:hAnsi="Tahoma" w:cs="Tahoma"/>
                <w:sz w:val="22"/>
              </w:rPr>
              <w:t xml:space="preserve">We will focus on high quality teaching with an individualised approach to addressing barriers to learning and emotional support. </w:t>
            </w:r>
          </w:p>
          <w:p w14:paraId="54C3E49B" w14:textId="77777777" w:rsidR="00761BD7" w:rsidRDefault="00761BD7" w:rsidP="00761BD7">
            <w:pPr>
              <w:rPr>
                <w:rFonts w:ascii="Tahoma" w:hAnsi="Tahoma" w:cs="Tahoma"/>
                <w:sz w:val="22"/>
              </w:rPr>
            </w:pPr>
            <w:r>
              <w:rPr>
                <w:rFonts w:ascii="Tahoma" w:hAnsi="Tahoma" w:cs="Tahoma"/>
                <w:sz w:val="22"/>
              </w:rPr>
              <w:t>Achieving our objectives:</w:t>
            </w:r>
          </w:p>
          <w:p w14:paraId="7A25F089" w14:textId="77777777" w:rsidR="00761BD7" w:rsidRPr="00916C8F" w:rsidRDefault="00761BD7" w:rsidP="00761BD7">
            <w:pPr>
              <w:pStyle w:val="ListParagraph"/>
              <w:numPr>
                <w:ilvl w:val="0"/>
                <w:numId w:val="15"/>
              </w:numPr>
              <w:rPr>
                <w:rFonts w:ascii="Tahoma" w:hAnsi="Tahoma" w:cs="Tahoma"/>
                <w:sz w:val="22"/>
              </w:rPr>
            </w:pPr>
            <w:r w:rsidRPr="00916C8F">
              <w:rPr>
                <w:rFonts w:ascii="Tahoma" w:hAnsi="Tahoma" w:cs="Tahoma"/>
                <w:sz w:val="22"/>
              </w:rPr>
              <w:t>To achieve our objectives and overcome identified barriers to learning, we will use a range of strategies outlined in the EEF guidance documentation, including:</w:t>
            </w:r>
          </w:p>
          <w:p w14:paraId="1C89BCFF" w14:textId="77777777" w:rsidR="00761BD7" w:rsidRPr="00916C8F" w:rsidRDefault="00761BD7" w:rsidP="00761BD7">
            <w:pPr>
              <w:pStyle w:val="ListParagraph"/>
              <w:numPr>
                <w:ilvl w:val="0"/>
                <w:numId w:val="15"/>
              </w:numPr>
              <w:rPr>
                <w:rFonts w:ascii="Tahoma" w:hAnsi="Tahoma" w:cs="Tahoma"/>
                <w:sz w:val="22"/>
              </w:rPr>
            </w:pPr>
            <w:r w:rsidRPr="00916C8F">
              <w:rPr>
                <w:rFonts w:ascii="Tahoma" w:hAnsi="Tahoma" w:cs="Tahoma"/>
                <w:sz w:val="22"/>
              </w:rPr>
              <w:t>Provide all teachers with high quality CPD to ensure that pupils access effective quality first teaching</w:t>
            </w:r>
          </w:p>
          <w:p w14:paraId="6B24349D" w14:textId="77777777" w:rsidR="00761BD7" w:rsidRDefault="00761BD7" w:rsidP="00761BD7">
            <w:pPr>
              <w:pStyle w:val="ListParagraph"/>
              <w:numPr>
                <w:ilvl w:val="0"/>
                <w:numId w:val="15"/>
              </w:numPr>
              <w:rPr>
                <w:rFonts w:ascii="Tahoma" w:hAnsi="Tahoma" w:cs="Tahoma"/>
                <w:sz w:val="22"/>
              </w:rPr>
            </w:pPr>
            <w:r w:rsidRPr="00916C8F">
              <w:rPr>
                <w:rFonts w:ascii="Tahoma" w:hAnsi="Tahoma" w:cs="Tahoma"/>
                <w:sz w:val="22"/>
              </w:rPr>
              <w:lastRenderedPageBreak/>
              <w:t>Provide targeted intervention and support to quickly address identified gaps in learning, including the use o</w:t>
            </w:r>
            <w:r>
              <w:rPr>
                <w:rFonts w:ascii="Tahoma" w:hAnsi="Tahoma" w:cs="Tahoma"/>
                <w:sz w:val="22"/>
              </w:rPr>
              <w:t>f</w:t>
            </w:r>
            <w:r w:rsidRPr="00916C8F">
              <w:rPr>
                <w:rFonts w:ascii="Tahoma" w:hAnsi="Tahoma" w:cs="Tahoma"/>
                <w:sz w:val="22"/>
              </w:rPr>
              <w:t xml:space="preserve"> small group work, 1:1 tuition</w:t>
            </w:r>
          </w:p>
          <w:p w14:paraId="67034ACB" w14:textId="77777777" w:rsidR="00761BD7" w:rsidRDefault="00761BD7" w:rsidP="00761BD7">
            <w:pPr>
              <w:pStyle w:val="ListParagraph"/>
              <w:numPr>
                <w:ilvl w:val="0"/>
                <w:numId w:val="15"/>
              </w:numPr>
              <w:rPr>
                <w:rFonts w:ascii="Tahoma" w:hAnsi="Tahoma" w:cs="Tahoma"/>
                <w:sz w:val="22"/>
              </w:rPr>
            </w:pPr>
            <w:r>
              <w:rPr>
                <w:rFonts w:ascii="Tahoma" w:hAnsi="Tahoma" w:cs="Tahoma"/>
                <w:sz w:val="22"/>
              </w:rPr>
              <w:t>Target funding to ensure that all pupils have access to trips/visits, residentials, first-hand learning experiences</w:t>
            </w:r>
          </w:p>
          <w:p w14:paraId="04592CFC" w14:textId="77777777" w:rsidR="00761BD7" w:rsidRDefault="00761BD7" w:rsidP="00761BD7">
            <w:pPr>
              <w:pStyle w:val="ListParagraph"/>
              <w:numPr>
                <w:ilvl w:val="0"/>
                <w:numId w:val="15"/>
              </w:numPr>
              <w:rPr>
                <w:rFonts w:ascii="Tahoma" w:hAnsi="Tahoma" w:cs="Tahoma"/>
                <w:sz w:val="22"/>
              </w:rPr>
            </w:pPr>
            <w:r>
              <w:rPr>
                <w:rFonts w:ascii="Tahoma" w:hAnsi="Tahoma" w:cs="Tahoma"/>
                <w:sz w:val="22"/>
              </w:rPr>
              <w:t>Provide opportunities for all pupils to participate in enrichment activities at lunchtime and beyond the school day</w:t>
            </w:r>
          </w:p>
          <w:p w14:paraId="6C1F6DDA" w14:textId="77777777" w:rsidR="00761BD7" w:rsidRDefault="00761BD7" w:rsidP="00761BD7">
            <w:pPr>
              <w:pStyle w:val="ListParagraph"/>
              <w:numPr>
                <w:ilvl w:val="0"/>
                <w:numId w:val="15"/>
              </w:numPr>
              <w:rPr>
                <w:rFonts w:ascii="Tahoma" w:hAnsi="Tahoma" w:cs="Tahoma"/>
                <w:sz w:val="22"/>
              </w:rPr>
            </w:pPr>
            <w:r>
              <w:rPr>
                <w:rFonts w:ascii="Tahoma" w:hAnsi="Tahoma" w:cs="Tahoma"/>
                <w:sz w:val="22"/>
              </w:rPr>
              <w:t>Provide appropriate nurture support to enable pupils to access learning within and beyond the classroom.</w:t>
            </w:r>
          </w:p>
          <w:p w14:paraId="2A7D54E9" w14:textId="0CC627C7" w:rsidR="00E66558" w:rsidRDefault="00761BD7" w:rsidP="00761BD7">
            <w:pPr>
              <w:pStyle w:val="ListParagraph"/>
              <w:numPr>
                <w:ilvl w:val="0"/>
                <w:numId w:val="13"/>
              </w:numPr>
              <w:rPr>
                <w:i/>
                <w:iCs/>
              </w:rPr>
            </w:pPr>
            <w:r>
              <w:rPr>
                <w:rFonts w:ascii="Tahoma" w:hAnsi="Tahoma" w:cs="Tahoma"/>
                <w:sz w:val="22"/>
              </w:rPr>
              <w:t xml:space="preserve">This is not an exhaustive list and strategies will change and develop based on the needs of individuals. </w:t>
            </w:r>
            <w:r w:rsidRPr="008D44AD">
              <w:rPr>
                <w:rFonts w:ascii="Tahoma" w:hAnsi="Tahoma" w:cs="Tahoma"/>
                <w:sz w:val="22"/>
              </w:rPr>
              <w:t xml:space="preserve">We strive to ensure all children leave </w:t>
            </w:r>
            <w:r>
              <w:rPr>
                <w:rFonts w:ascii="Tahoma" w:hAnsi="Tahoma" w:cs="Tahoma"/>
                <w:sz w:val="22"/>
              </w:rPr>
              <w:t>us</w:t>
            </w:r>
            <w:r w:rsidRPr="008D44AD">
              <w:rPr>
                <w:rFonts w:ascii="Tahoma" w:hAnsi="Tahoma" w:cs="Tahoma"/>
                <w:sz w:val="22"/>
              </w:rPr>
              <w:t xml:space="preserve"> with </w:t>
            </w:r>
            <w:r>
              <w:rPr>
                <w:rFonts w:ascii="Tahoma" w:hAnsi="Tahoma" w:cs="Tahoma"/>
                <w:sz w:val="22"/>
              </w:rPr>
              <w:t xml:space="preserve">our core values of </w:t>
            </w:r>
            <w:r w:rsidRPr="00085CB7">
              <w:rPr>
                <w:rFonts w:ascii="Tahoma" w:hAnsi="Tahoma" w:cs="Tahoma"/>
              </w:rPr>
              <w:t>‘</w:t>
            </w:r>
            <w:r w:rsidRPr="00085CB7">
              <w:rPr>
                <w:rFonts w:ascii="Tahoma" w:hAnsi="Tahoma" w:cs="Tahoma"/>
                <w:color w:val="000000"/>
                <w:sz w:val="22"/>
                <w:szCs w:val="27"/>
              </w:rPr>
              <w:t>Respect, Commitment, Courage, Forgiveness, Honesty and Wisdom</w:t>
            </w:r>
            <w:r w:rsidRPr="00085CB7">
              <w:rPr>
                <w:rFonts w:ascii="Tahoma" w:hAnsi="Tahoma" w:cs="Tahoma"/>
                <w:color w:val="000000"/>
                <w:szCs w:val="27"/>
              </w:rPr>
              <w:t>’.</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761BD7"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761BD7" w:rsidRDefault="00761BD7" w:rsidP="00761BD7">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65CF855" w:rsidR="00A32BF9" w:rsidRPr="000A0263" w:rsidRDefault="00A32BF9" w:rsidP="000A0263">
            <w:pPr>
              <w:pStyle w:val="TableRowCentered"/>
              <w:ind w:left="0"/>
              <w:jc w:val="left"/>
            </w:pPr>
            <w:r w:rsidRPr="000A0263">
              <w:t>Historic disruption and inconsistency to the curriculum caused by global pandemic for Year 3 pupils upwards</w:t>
            </w:r>
          </w:p>
        </w:tc>
      </w:tr>
      <w:tr w:rsidR="00761BD7"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761BD7" w:rsidRDefault="00761BD7" w:rsidP="00761BD7">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857E4DB" w:rsidR="00A32BF9" w:rsidRPr="000A0263" w:rsidRDefault="00A32BF9" w:rsidP="00761BD7">
            <w:pPr>
              <w:pStyle w:val="TableRowCentered"/>
              <w:jc w:val="left"/>
              <w:rPr>
                <w:sz w:val="22"/>
                <w:szCs w:val="22"/>
              </w:rPr>
            </w:pPr>
            <w:r w:rsidRPr="000A0263">
              <w:rPr>
                <w:sz w:val="22"/>
                <w:szCs w:val="22"/>
              </w:rPr>
              <w:t xml:space="preserve">Careful and swift initial assessment is needed on entry to EYFS to ensure interventions are in place for those entering school </w:t>
            </w:r>
            <w:r w:rsidR="00196AEE" w:rsidRPr="000A0263">
              <w:rPr>
                <w:sz w:val="22"/>
                <w:szCs w:val="22"/>
              </w:rPr>
              <w:t>with poor language and vocabulary skills.</w:t>
            </w:r>
          </w:p>
        </w:tc>
      </w:tr>
      <w:tr w:rsidR="00761BD7"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761BD7" w:rsidRDefault="00761BD7" w:rsidP="00761BD7">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B050D07" w:rsidR="00761BD7" w:rsidRPr="000A0263" w:rsidRDefault="00196AEE" w:rsidP="00761BD7">
            <w:pPr>
              <w:pStyle w:val="TableRowCentered"/>
              <w:jc w:val="left"/>
              <w:rPr>
                <w:sz w:val="22"/>
                <w:szCs w:val="22"/>
              </w:rPr>
            </w:pPr>
            <w:r w:rsidRPr="000A0263">
              <w:rPr>
                <w:sz w:val="22"/>
                <w:szCs w:val="22"/>
              </w:rPr>
              <w:t>Challenges in children gaining combined reading/ writing/ maths in relation to points 1 &amp; 2</w:t>
            </w:r>
          </w:p>
        </w:tc>
      </w:tr>
      <w:tr w:rsidR="00761BD7"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761BD7" w:rsidRDefault="00761BD7" w:rsidP="00761BD7">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86F31CF" w:rsidR="00761BD7" w:rsidRPr="000A0263" w:rsidRDefault="00196AEE" w:rsidP="00761BD7">
            <w:pPr>
              <w:pStyle w:val="TableRowCentered"/>
              <w:jc w:val="left"/>
              <w:rPr>
                <w:iCs/>
                <w:sz w:val="22"/>
              </w:rPr>
            </w:pPr>
            <w:r w:rsidRPr="000A0263">
              <w:rPr>
                <w:iCs/>
                <w:sz w:val="22"/>
              </w:rPr>
              <w:t>Small pockets of l</w:t>
            </w:r>
            <w:r w:rsidR="00761BD7" w:rsidRPr="000A0263">
              <w:rPr>
                <w:iCs/>
                <w:sz w:val="22"/>
              </w:rPr>
              <w:t>ow attendance and persistent absenteeism causing a negative effect on attainment and progress</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761BD7"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BBC255C" w:rsidR="00761BD7" w:rsidRDefault="00761BD7" w:rsidP="00761BD7">
            <w:pPr>
              <w:pStyle w:val="TableRow"/>
            </w:pPr>
            <w:r w:rsidRPr="00640619">
              <w:rPr>
                <w:sz w:val="22"/>
                <w:szCs w:val="22"/>
              </w:rPr>
              <w:t>Improved language and vocabulary and reading skills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1F757" w14:textId="77777777" w:rsidR="00761BD7" w:rsidRDefault="00761BD7" w:rsidP="00761BD7">
            <w:pPr>
              <w:pStyle w:val="TableRowCentered"/>
              <w:jc w:val="left"/>
              <w:rPr>
                <w:sz w:val="22"/>
                <w:szCs w:val="22"/>
              </w:rPr>
            </w:pPr>
            <w:r>
              <w:rPr>
                <w:sz w:val="22"/>
                <w:szCs w:val="22"/>
              </w:rPr>
              <w:t>Standards in reading are at national for Y2 and Y6</w:t>
            </w:r>
          </w:p>
          <w:p w14:paraId="2A7D5505" w14:textId="1CAA91EF" w:rsidR="00761BD7" w:rsidRDefault="00761BD7" w:rsidP="00761BD7">
            <w:pPr>
              <w:pStyle w:val="TableRowCentered"/>
              <w:jc w:val="left"/>
              <w:rPr>
                <w:sz w:val="22"/>
                <w:szCs w:val="22"/>
              </w:rPr>
            </w:pPr>
            <w:r>
              <w:rPr>
                <w:sz w:val="22"/>
                <w:szCs w:val="22"/>
              </w:rPr>
              <w:t>Standards in phonics are at national for Y1 and Y2</w:t>
            </w:r>
          </w:p>
        </w:tc>
      </w:tr>
      <w:tr w:rsidR="00761BD7"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6AD42AF" w:rsidR="00761BD7" w:rsidRDefault="00761BD7" w:rsidP="00761BD7">
            <w:pPr>
              <w:pStyle w:val="TableRow"/>
              <w:rPr>
                <w:sz w:val="22"/>
                <w:szCs w:val="22"/>
              </w:rPr>
            </w:pPr>
            <w:r>
              <w:rPr>
                <w:sz w:val="22"/>
                <w:szCs w:val="22"/>
              </w:rPr>
              <w:t>Improved writing attainment and accelerated progress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FE40AA4" w:rsidR="00761BD7" w:rsidRDefault="00761BD7" w:rsidP="00761BD7">
            <w:pPr>
              <w:pStyle w:val="TableRowCentered"/>
              <w:jc w:val="left"/>
              <w:rPr>
                <w:sz w:val="22"/>
                <w:szCs w:val="22"/>
              </w:rPr>
            </w:pPr>
            <w:r>
              <w:rPr>
                <w:sz w:val="22"/>
                <w:szCs w:val="22"/>
              </w:rPr>
              <w:t>Standards in writing are at national for Y2 and Y6</w:t>
            </w:r>
          </w:p>
        </w:tc>
      </w:tr>
      <w:tr w:rsidR="00761BD7"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A7911F6" w:rsidR="00761BD7" w:rsidRDefault="00761BD7" w:rsidP="00761BD7">
            <w:pPr>
              <w:pStyle w:val="TableRow"/>
              <w:rPr>
                <w:sz w:val="22"/>
                <w:szCs w:val="22"/>
              </w:rPr>
            </w:pPr>
            <w:r>
              <w:rPr>
                <w:sz w:val="22"/>
                <w:szCs w:val="22"/>
              </w:rPr>
              <w:t>Improved maths attainment and accelerated progress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11B30926" w:rsidR="00761BD7" w:rsidRDefault="00761BD7" w:rsidP="00761BD7">
            <w:pPr>
              <w:pStyle w:val="TableRowCentered"/>
              <w:jc w:val="left"/>
              <w:rPr>
                <w:sz w:val="22"/>
                <w:szCs w:val="22"/>
              </w:rPr>
            </w:pPr>
            <w:r>
              <w:rPr>
                <w:sz w:val="22"/>
                <w:szCs w:val="22"/>
              </w:rPr>
              <w:t>Standards in maths are at national for Y2 and Y6</w:t>
            </w:r>
          </w:p>
        </w:tc>
      </w:tr>
      <w:tr w:rsidR="00761BD7"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C72B72C" w:rsidR="00761BD7" w:rsidRDefault="00761BD7" w:rsidP="00761BD7">
            <w:pPr>
              <w:pStyle w:val="TableRow"/>
              <w:rPr>
                <w:sz w:val="22"/>
                <w:szCs w:val="22"/>
              </w:rPr>
            </w:pPr>
            <w:r>
              <w:rPr>
                <w:sz w:val="22"/>
                <w:szCs w:val="22"/>
              </w:rPr>
              <w:lastRenderedPageBreak/>
              <w:t>Attendance is good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9C795" w14:textId="77777777" w:rsidR="00761BD7" w:rsidRDefault="00761BD7" w:rsidP="00761BD7">
            <w:pPr>
              <w:pStyle w:val="TableRowCentered"/>
              <w:jc w:val="left"/>
              <w:rPr>
                <w:sz w:val="22"/>
                <w:szCs w:val="22"/>
              </w:rPr>
            </w:pPr>
            <w:r>
              <w:rPr>
                <w:sz w:val="22"/>
                <w:szCs w:val="22"/>
              </w:rPr>
              <w:t>Overall attendance is in line with all children.</w:t>
            </w:r>
          </w:p>
          <w:p w14:paraId="5E9A8C99" w14:textId="77777777" w:rsidR="00761BD7" w:rsidRDefault="00761BD7" w:rsidP="00761BD7">
            <w:pPr>
              <w:pStyle w:val="TableRowCentered"/>
              <w:jc w:val="left"/>
              <w:rPr>
                <w:sz w:val="22"/>
                <w:szCs w:val="22"/>
              </w:rPr>
            </w:pPr>
            <w:r>
              <w:rPr>
                <w:sz w:val="22"/>
                <w:szCs w:val="22"/>
              </w:rPr>
              <w:t>Attendance is in line with national.</w:t>
            </w:r>
          </w:p>
          <w:p w14:paraId="2A7D550E" w14:textId="6A10B1F4" w:rsidR="00761BD7" w:rsidRDefault="00761BD7" w:rsidP="00761BD7">
            <w:pPr>
              <w:pStyle w:val="TableRowCentered"/>
              <w:jc w:val="left"/>
              <w:rPr>
                <w:sz w:val="22"/>
                <w:szCs w:val="22"/>
              </w:rPr>
            </w:pPr>
            <w:r>
              <w:rPr>
                <w:sz w:val="22"/>
                <w:szCs w:val="22"/>
              </w:rPr>
              <w:t>PA is in line with national.</w:t>
            </w:r>
          </w:p>
        </w:tc>
      </w:tr>
      <w:tr w:rsidR="00761BD7" w14:paraId="23AD4F5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5940C" w14:textId="4AC997E8" w:rsidR="00761BD7" w:rsidRDefault="00761BD7" w:rsidP="00761BD7">
            <w:pPr>
              <w:pStyle w:val="TableRow"/>
              <w:rPr>
                <w:sz w:val="22"/>
                <w:szCs w:val="22"/>
              </w:rPr>
            </w:pPr>
            <w:r>
              <w:rPr>
                <w:sz w:val="22"/>
                <w:szCs w:val="22"/>
              </w:rPr>
              <w:t>Children’s well-being is good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7291" w14:textId="77777777" w:rsidR="00761BD7" w:rsidRDefault="00761BD7" w:rsidP="00761BD7">
            <w:pPr>
              <w:pStyle w:val="TableRowCentered"/>
              <w:jc w:val="left"/>
              <w:rPr>
                <w:sz w:val="22"/>
                <w:szCs w:val="22"/>
              </w:rPr>
            </w:pPr>
            <w:r>
              <w:rPr>
                <w:sz w:val="22"/>
                <w:szCs w:val="22"/>
              </w:rPr>
              <w:t>All children have access to additional individual/family support for their mental health and wellbeing.</w:t>
            </w:r>
          </w:p>
          <w:p w14:paraId="4198E736" w14:textId="77777777" w:rsidR="00761BD7" w:rsidRDefault="00761BD7" w:rsidP="00761BD7">
            <w:pPr>
              <w:pStyle w:val="TableRowCentered"/>
              <w:jc w:val="left"/>
              <w:rPr>
                <w:sz w:val="22"/>
                <w:szCs w:val="22"/>
              </w:rPr>
            </w:pPr>
            <w:r>
              <w:rPr>
                <w:sz w:val="22"/>
                <w:szCs w:val="22"/>
              </w:rPr>
              <w:t>All children have their social and emotional needs met.</w:t>
            </w:r>
          </w:p>
          <w:p w14:paraId="330D6375" w14:textId="21EAE7D9" w:rsidR="00761BD7" w:rsidRDefault="00761BD7" w:rsidP="00761BD7">
            <w:pPr>
              <w:pStyle w:val="TableRowCentered"/>
              <w:jc w:val="left"/>
              <w:rPr>
                <w:sz w:val="22"/>
                <w:szCs w:val="22"/>
              </w:rPr>
            </w:pPr>
            <w:r>
              <w:rPr>
                <w:sz w:val="22"/>
                <w:szCs w:val="22"/>
              </w:rPr>
              <w:t>Children can access learning and develop resilience because of interventions.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87FE49F" w:rsidR="00E66558" w:rsidRDefault="009D71E8">
      <w:r>
        <w:t>Budgeted cost: £</w:t>
      </w:r>
      <w:r w:rsidR="006E1F0C">
        <w:t>22,000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761BD7"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09D2" w14:textId="77777777" w:rsidR="00761BD7" w:rsidRPr="00640619" w:rsidRDefault="00761BD7" w:rsidP="00761BD7">
            <w:pPr>
              <w:pStyle w:val="TableRow"/>
              <w:rPr>
                <w:b/>
                <w:bCs/>
                <w:sz w:val="22"/>
                <w:szCs w:val="22"/>
              </w:rPr>
            </w:pPr>
            <w:r w:rsidRPr="00640619">
              <w:rPr>
                <w:b/>
                <w:bCs/>
                <w:sz w:val="22"/>
                <w:szCs w:val="22"/>
              </w:rPr>
              <w:t>Phonics and reading</w:t>
            </w:r>
          </w:p>
          <w:p w14:paraId="51C66DFE" w14:textId="77777777" w:rsidR="00761BD7" w:rsidRPr="001849E2" w:rsidRDefault="00761BD7" w:rsidP="00761BD7">
            <w:pPr>
              <w:pStyle w:val="TableRow"/>
              <w:rPr>
                <w:sz w:val="22"/>
                <w:szCs w:val="22"/>
              </w:rPr>
            </w:pPr>
            <w:r w:rsidRPr="001849E2">
              <w:rPr>
                <w:sz w:val="22"/>
                <w:szCs w:val="22"/>
              </w:rPr>
              <w:t>Daily Read, Write Inc Phonics teaching programme in place across the school in EYFS/KS1.</w:t>
            </w:r>
          </w:p>
          <w:p w14:paraId="447685A9" w14:textId="77777777" w:rsidR="00761BD7" w:rsidRPr="001849E2" w:rsidRDefault="00761BD7" w:rsidP="00761BD7">
            <w:pPr>
              <w:pStyle w:val="TableRow"/>
              <w:rPr>
                <w:sz w:val="22"/>
                <w:szCs w:val="22"/>
              </w:rPr>
            </w:pPr>
            <w:r w:rsidRPr="001849E2">
              <w:rPr>
                <w:sz w:val="22"/>
                <w:szCs w:val="22"/>
              </w:rPr>
              <w:t>CPD and leadership/teaching support in place.</w:t>
            </w:r>
          </w:p>
          <w:p w14:paraId="3CC18C5E" w14:textId="77777777" w:rsidR="00761BD7" w:rsidRDefault="00761BD7" w:rsidP="00761BD7">
            <w:pPr>
              <w:pStyle w:val="TableRow"/>
              <w:rPr>
                <w:sz w:val="22"/>
                <w:szCs w:val="22"/>
              </w:rPr>
            </w:pPr>
            <w:r w:rsidRPr="001849E2">
              <w:rPr>
                <w:sz w:val="22"/>
                <w:szCs w:val="22"/>
              </w:rPr>
              <w:t>Allocations of funds for subscriptions (reading and spelling) and high-quality reading</w:t>
            </w:r>
            <w:r>
              <w:rPr>
                <w:sz w:val="22"/>
                <w:szCs w:val="22"/>
              </w:rPr>
              <w:t xml:space="preserve"> and guided reading</w:t>
            </w:r>
            <w:r w:rsidRPr="001849E2">
              <w:rPr>
                <w:sz w:val="22"/>
                <w:szCs w:val="22"/>
              </w:rPr>
              <w:t xml:space="preserve"> texts for EYFS, KS1 and KS2</w:t>
            </w:r>
          </w:p>
          <w:p w14:paraId="2A7D551A" w14:textId="3847FCFF" w:rsidR="00761BD7" w:rsidRDefault="00761BD7" w:rsidP="00761BD7">
            <w:pPr>
              <w:pStyle w:val="TableRow"/>
              <w:ind w:lef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F7EE" w14:textId="77777777" w:rsidR="00761BD7" w:rsidRDefault="00761BD7" w:rsidP="00761BD7">
            <w:pPr>
              <w:pStyle w:val="TableRowCentered"/>
              <w:jc w:val="left"/>
              <w:rPr>
                <w:sz w:val="22"/>
              </w:rPr>
            </w:pPr>
            <w:r>
              <w:rPr>
                <w:sz w:val="22"/>
              </w:rPr>
              <w:t>EEF – Phonics has a positive impact overall (+5 months) with very extensive evidence and is an important component in the development of early reading skills, particularly for children from disadvantaged backgrounds.</w:t>
            </w:r>
          </w:p>
          <w:p w14:paraId="1FF61A10" w14:textId="77777777" w:rsidR="00761BD7" w:rsidRDefault="00761BD7" w:rsidP="00761BD7">
            <w:pPr>
              <w:pStyle w:val="TableRowCentered"/>
              <w:jc w:val="left"/>
              <w:rPr>
                <w:sz w:val="22"/>
              </w:rPr>
            </w:pPr>
          </w:p>
          <w:p w14:paraId="2A7D551B" w14:textId="3F529EEB" w:rsidR="00761BD7" w:rsidRDefault="00761BD7" w:rsidP="00761BD7">
            <w:pPr>
              <w:pStyle w:val="TableRowCentered"/>
              <w:jc w:val="left"/>
              <w:rPr>
                <w:sz w:val="22"/>
              </w:rPr>
            </w:pPr>
            <w:r>
              <w:rPr>
                <w:sz w:val="22"/>
              </w:rPr>
              <w:t>EEF – evidence suggests reading comprehension strategies can impact by 6 months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FA785AB" w:rsidR="00761BD7" w:rsidRDefault="00761BD7" w:rsidP="00761BD7">
            <w:pPr>
              <w:pStyle w:val="TableRowCentered"/>
              <w:jc w:val="left"/>
              <w:rPr>
                <w:sz w:val="22"/>
              </w:rPr>
            </w:pPr>
            <w:r>
              <w:rPr>
                <w:sz w:val="22"/>
              </w:rPr>
              <w:t>1, 2, 3</w:t>
            </w:r>
          </w:p>
        </w:tc>
      </w:tr>
      <w:tr w:rsidR="00761BD7"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9B2DB" w14:textId="77777777" w:rsidR="00761BD7" w:rsidRPr="001849E2" w:rsidRDefault="00761BD7" w:rsidP="00761BD7">
            <w:pPr>
              <w:pStyle w:val="TableRow"/>
              <w:rPr>
                <w:b/>
                <w:bCs/>
                <w:iCs/>
                <w:sz w:val="22"/>
              </w:rPr>
            </w:pPr>
            <w:r w:rsidRPr="001849E2">
              <w:rPr>
                <w:b/>
                <w:bCs/>
                <w:iCs/>
                <w:sz w:val="22"/>
              </w:rPr>
              <w:t>Quality First Teaching &amp; Curriculum Development</w:t>
            </w:r>
          </w:p>
          <w:p w14:paraId="17FF7000" w14:textId="77777777" w:rsidR="00761BD7" w:rsidRDefault="00761BD7" w:rsidP="00761BD7">
            <w:pPr>
              <w:pStyle w:val="TableRow"/>
              <w:rPr>
                <w:iCs/>
                <w:sz w:val="22"/>
              </w:rPr>
            </w:pPr>
            <w:r>
              <w:rPr>
                <w:iCs/>
                <w:sz w:val="22"/>
              </w:rPr>
              <w:t>CPD funds allocated to ongoing training of teachers and teaching assistant</w:t>
            </w:r>
          </w:p>
          <w:p w14:paraId="2A7D551E" w14:textId="77777777" w:rsidR="00761BD7" w:rsidRDefault="00761BD7" w:rsidP="00761BD7">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6DD1" w14:textId="77777777" w:rsidR="00761BD7" w:rsidRDefault="00761BD7" w:rsidP="00761BD7">
            <w:pPr>
              <w:pStyle w:val="TableRowCentered"/>
              <w:jc w:val="left"/>
              <w:rPr>
                <w:sz w:val="22"/>
              </w:rPr>
            </w:pPr>
            <w:r>
              <w:rPr>
                <w:sz w:val="22"/>
              </w:rPr>
              <w:t xml:space="preserve">CPD has a greater impact on standards than other interventions and solutions. </w:t>
            </w:r>
          </w:p>
          <w:p w14:paraId="5019BF25" w14:textId="77777777" w:rsidR="00761BD7" w:rsidRDefault="00761BD7" w:rsidP="00761BD7">
            <w:pPr>
              <w:pStyle w:val="TableRowCentered"/>
              <w:jc w:val="left"/>
              <w:rPr>
                <w:sz w:val="22"/>
              </w:rPr>
            </w:pPr>
          </w:p>
          <w:p w14:paraId="06C6CE94" w14:textId="77777777" w:rsidR="00761BD7" w:rsidRDefault="00761BD7" w:rsidP="00761BD7">
            <w:pPr>
              <w:pStyle w:val="TableRowCentered"/>
              <w:jc w:val="left"/>
              <w:rPr>
                <w:sz w:val="22"/>
              </w:rPr>
            </w:pPr>
            <w:r>
              <w:rPr>
                <w:sz w:val="22"/>
              </w:rPr>
              <w:t>Assessment data internal/external indicates this is an ongoing area of need.</w:t>
            </w:r>
          </w:p>
          <w:p w14:paraId="2A7D551F" w14:textId="13EFB8F8" w:rsidR="00761BD7" w:rsidRDefault="006E1F0C" w:rsidP="00761BD7">
            <w:pPr>
              <w:pStyle w:val="TableRowCentered"/>
              <w:jc w:val="left"/>
              <w:rPr>
                <w:sz w:val="22"/>
              </w:rPr>
            </w:pPr>
            <w:hyperlink r:id="rId8" w:history="1">
              <w:r w:rsidR="00761BD7" w:rsidRPr="00815F69">
                <w:rPr>
                  <w:rStyle w:val="Hyperlink"/>
                  <w:sz w:val="22"/>
                </w:rPr>
                <w:t>https://www.gov.uk/guidance/pupil-premium-effective-use-and-accountability</w:t>
              </w:r>
            </w:hyperlink>
            <w:r w:rsidR="00761BD7">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E97B438" w:rsidR="00761BD7" w:rsidRDefault="00761BD7" w:rsidP="00761BD7">
            <w:pPr>
              <w:pStyle w:val="TableRowCentered"/>
              <w:jc w:val="left"/>
              <w:rPr>
                <w:sz w:val="22"/>
              </w:rPr>
            </w:pPr>
            <w:r>
              <w:rPr>
                <w:sz w:val="22"/>
              </w:rPr>
              <w:t>1, 2, 3, 4</w:t>
            </w:r>
          </w:p>
        </w:tc>
      </w:tr>
      <w:tr w:rsidR="00761BD7" w14:paraId="2C5B5F8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F171" w14:textId="77777777" w:rsidR="00761BD7" w:rsidRPr="001849E2" w:rsidRDefault="00761BD7" w:rsidP="00761BD7">
            <w:pPr>
              <w:pStyle w:val="TableRow"/>
              <w:rPr>
                <w:b/>
                <w:bCs/>
                <w:iCs/>
                <w:sz w:val="22"/>
              </w:rPr>
            </w:pPr>
            <w:r w:rsidRPr="001849E2">
              <w:rPr>
                <w:b/>
                <w:bCs/>
                <w:iCs/>
                <w:sz w:val="22"/>
              </w:rPr>
              <w:t>Development of Maths teaching</w:t>
            </w:r>
          </w:p>
          <w:p w14:paraId="72FC31B2" w14:textId="77777777" w:rsidR="00761BD7" w:rsidRDefault="00761BD7" w:rsidP="00761BD7">
            <w:pPr>
              <w:pStyle w:val="TableRow"/>
              <w:rPr>
                <w:iCs/>
                <w:sz w:val="22"/>
              </w:rPr>
            </w:pPr>
            <w:r>
              <w:rPr>
                <w:iCs/>
                <w:sz w:val="22"/>
              </w:rPr>
              <w:t>Access to White Rose premium resources</w:t>
            </w:r>
          </w:p>
          <w:p w14:paraId="42F5DB74" w14:textId="77777777" w:rsidR="00761BD7" w:rsidRDefault="00761BD7" w:rsidP="00761BD7">
            <w:pPr>
              <w:pStyle w:val="TableRow"/>
              <w:rPr>
                <w:iCs/>
                <w:sz w:val="22"/>
              </w:rPr>
            </w:pPr>
            <w:r>
              <w:rPr>
                <w:iCs/>
                <w:sz w:val="22"/>
              </w:rPr>
              <w:t xml:space="preserve">Maths </w:t>
            </w:r>
            <w:r w:rsidRPr="0051029D">
              <w:rPr>
                <w:iCs/>
                <w:sz w:val="22"/>
              </w:rPr>
              <w:t>Curriculum development via Anthony Reddy</w:t>
            </w:r>
            <w:r>
              <w:rPr>
                <w:iCs/>
                <w:sz w:val="22"/>
              </w:rPr>
              <w:t xml:space="preserve"> – ongoing CPD for staff &amp; leadership advice</w:t>
            </w:r>
          </w:p>
          <w:p w14:paraId="380E1FFE" w14:textId="77777777" w:rsidR="00A5505F" w:rsidRDefault="00A5505F" w:rsidP="00761BD7">
            <w:pPr>
              <w:pStyle w:val="TableRow"/>
              <w:rPr>
                <w:bCs/>
                <w:iCs/>
                <w:sz w:val="22"/>
              </w:rPr>
            </w:pPr>
            <w:r w:rsidRPr="00A5505F">
              <w:rPr>
                <w:bCs/>
                <w:iCs/>
                <w:sz w:val="22"/>
              </w:rPr>
              <w:t xml:space="preserve">GLOW MATHS HUB </w:t>
            </w:r>
            <w:r>
              <w:rPr>
                <w:bCs/>
                <w:iCs/>
                <w:sz w:val="22"/>
              </w:rPr>
              <w:t>release for leaders</w:t>
            </w:r>
          </w:p>
          <w:p w14:paraId="26788FBE" w14:textId="386FB384" w:rsidR="00A5505F" w:rsidRPr="00A5505F" w:rsidRDefault="00A5505F" w:rsidP="00761BD7">
            <w:pPr>
              <w:pStyle w:val="TableRow"/>
              <w:rPr>
                <w:bCs/>
                <w:iCs/>
                <w:sz w:val="22"/>
              </w:rPr>
            </w:pPr>
            <w:r>
              <w:rPr>
                <w:bCs/>
                <w:iCs/>
                <w:sz w:val="22"/>
              </w:rPr>
              <w:t xml:space="preserve">Training for all staff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3E37" w14:textId="639F87C6" w:rsidR="00761BD7" w:rsidRDefault="00761BD7" w:rsidP="00761BD7">
            <w:pPr>
              <w:pStyle w:val="TableRowCentered"/>
              <w:jc w:val="left"/>
              <w:rPr>
                <w:sz w:val="22"/>
              </w:rPr>
            </w:pPr>
            <w:r>
              <w:rPr>
                <w:sz w:val="22"/>
              </w:rPr>
              <w:t>The impact of mastery learning approaches is an additional five-month progress, on average, over the course of a year. This approach must ensure that all children’s gaps in learning are identified and addressed.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2CE27" w14:textId="7A2896FC" w:rsidR="00761BD7" w:rsidRDefault="00761BD7" w:rsidP="00761BD7">
            <w:pPr>
              <w:pStyle w:val="TableRowCentered"/>
              <w:jc w:val="left"/>
              <w:rPr>
                <w:sz w:val="22"/>
              </w:rPr>
            </w:pPr>
            <w:r>
              <w:rPr>
                <w:sz w:val="22"/>
              </w:rPr>
              <w:t>1, 3</w:t>
            </w:r>
          </w:p>
        </w:tc>
      </w:tr>
      <w:tr w:rsidR="00761BD7" w14:paraId="214FF7C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D6B0" w14:textId="77777777" w:rsidR="00761BD7" w:rsidRDefault="00761BD7" w:rsidP="00761BD7">
            <w:pPr>
              <w:pStyle w:val="TableRow"/>
              <w:rPr>
                <w:b/>
                <w:bCs/>
                <w:iCs/>
                <w:sz w:val="22"/>
              </w:rPr>
            </w:pPr>
            <w:r>
              <w:rPr>
                <w:b/>
                <w:bCs/>
                <w:iCs/>
                <w:sz w:val="22"/>
              </w:rPr>
              <w:lastRenderedPageBreak/>
              <w:t>Development of teaching of Writing</w:t>
            </w:r>
          </w:p>
          <w:p w14:paraId="5EC9E3FE" w14:textId="77777777" w:rsidR="00761BD7" w:rsidRDefault="00761BD7" w:rsidP="00761BD7">
            <w:pPr>
              <w:pStyle w:val="TableRow"/>
              <w:rPr>
                <w:iCs/>
                <w:sz w:val="22"/>
              </w:rPr>
            </w:pPr>
            <w:r>
              <w:rPr>
                <w:iCs/>
                <w:sz w:val="22"/>
              </w:rPr>
              <w:t>SLE leadership support for development of writing curriculum</w:t>
            </w:r>
          </w:p>
          <w:p w14:paraId="023C811C" w14:textId="30469370" w:rsidR="00761BD7" w:rsidRDefault="00761BD7" w:rsidP="00761BD7">
            <w:pPr>
              <w:pStyle w:val="TableRow"/>
              <w:rPr>
                <w:iCs/>
                <w:sz w:val="22"/>
              </w:rPr>
            </w:pPr>
            <w:r>
              <w:rPr>
                <w:iCs/>
                <w:sz w:val="22"/>
              </w:rPr>
              <w:t>New texts Y1-6 to support new writing curriculum</w:t>
            </w:r>
          </w:p>
          <w:p w14:paraId="1E930A47" w14:textId="09AB5458" w:rsidR="00A5505F" w:rsidRPr="0051029D" w:rsidRDefault="00A5505F" w:rsidP="00761BD7">
            <w:pPr>
              <w:pStyle w:val="TableRow"/>
              <w:rPr>
                <w:iCs/>
                <w:sz w:val="22"/>
              </w:rPr>
            </w:pPr>
            <w:r>
              <w:rPr>
                <w:iCs/>
                <w:sz w:val="22"/>
              </w:rPr>
              <w:t>Release for leaders to write small step curriculum for all year groups</w:t>
            </w:r>
          </w:p>
          <w:p w14:paraId="282E2441" w14:textId="77777777" w:rsidR="00761BD7" w:rsidRPr="001849E2" w:rsidRDefault="00761BD7" w:rsidP="00761BD7">
            <w:pPr>
              <w:pStyle w:val="TableRow"/>
              <w:rPr>
                <w:b/>
                <w:bCs/>
                <w:iCs/>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90DB" w14:textId="6631CFFC" w:rsidR="00761BD7" w:rsidRDefault="00761BD7" w:rsidP="00761BD7">
            <w:pPr>
              <w:pStyle w:val="TableRowCentered"/>
              <w:jc w:val="left"/>
              <w:rPr>
                <w:sz w:val="22"/>
              </w:rPr>
            </w:pPr>
            <w:r>
              <w:rPr>
                <w:sz w:val="22"/>
              </w:rPr>
              <w:t>Within class attainment grouping indicates a positive impact of 2+ months. Effective feedback is shown to be the most effective at 6+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EE0B9" w14:textId="2004D4F6" w:rsidR="00761BD7" w:rsidRDefault="00761BD7" w:rsidP="00761BD7">
            <w:pPr>
              <w:pStyle w:val="TableRowCentered"/>
              <w:jc w:val="left"/>
              <w:rPr>
                <w:sz w:val="22"/>
              </w:rPr>
            </w:pPr>
            <w:r>
              <w:rPr>
                <w:sz w:val="22"/>
              </w:rPr>
              <w:t>1, 3</w:t>
            </w:r>
          </w:p>
        </w:tc>
      </w:tr>
      <w:tr w:rsidR="00761BD7" w14:paraId="6A88395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33B79" w14:textId="77777777" w:rsidR="00761BD7" w:rsidRDefault="00761BD7" w:rsidP="00761BD7">
            <w:pPr>
              <w:pStyle w:val="TableRow"/>
              <w:rPr>
                <w:b/>
                <w:bCs/>
                <w:iCs/>
                <w:sz w:val="22"/>
              </w:rPr>
            </w:pPr>
            <w:r>
              <w:rPr>
                <w:b/>
                <w:bCs/>
                <w:iCs/>
                <w:sz w:val="22"/>
              </w:rPr>
              <w:t>Additional leadership analysis &amp; monitoring of T&amp;L for PP children</w:t>
            </w:r>
          </w:p>
          <w:p w14:paraId="5CDD731D" w14:textId="77777777" w:rsidR="00761BD7" w:rsidRDefault="00761BD7" w:rsidP="00761BD7">
            <w:pPr>
              <w:pStyle w:val="TableRow"/>
              <w:rPr>
                <w:iCs/>
                <w:sz w:val="22"/>
              </w:rPr>
            </w:pPr>
            <w:r>
              <w:rPr>
                <w:iCs/>
                <w:sz w:val="22"/>
              </w:rPr>
              <w:t>Analysis of termly data</w:t>
            </w:r>
          </w:p>
          <w:p w14:paraId="3695F76D" w14:textId="77777777" w:rsidR="00761BD7" w:rsidRDefault="00761BD7" w:rsidP="00761BD7">
            <w:pPr>
              <w:pStyle w:val="TableRow"/>
              <w:rPr>
                <w:iCs/>
                <w:sz w:val="22"/>
              </w:rPr>
            </w:pPr>
            <w:r>
              <w:rPr>
                <w:iCs/>
                <w:sz w:val="22"/>
              </w:rPr>
              <w:t>Pupil progress meetings</w:t>
            </w:r>
          </w:p>
          <w:p w14:paraId="3241ECE9" w14:textId="77777777" w:rsidR="00761BD7" w:rsidRDefault="00761BD7" w:rsidP="00761BD7">
            <w:pPr>
              <w:pStyle w:val="TableRow"/>
              <w:rPr>
                <w:iCs/>
                <w:sz w:val="22"/>
              </w:rPr>
            </w:pPr>
            <w:r>
              <w:rPr>
                <w:iCs/>
                <w:sz w:val="22"/>
              </w:rPr>
              <w:t>Monitoring of weekly support</w:t>
            </w:r>
          </w:p>
          <w:p w14:paraId="141FAEDB" w14:textId="262A7818" w:rsidR="00761BD7" w:rsidRPr="00761BD7" w:rsidRDefault="00761BD7" w:rsidP="00761BD7">
            <w:pPr>
              <w:pStyle w:val="TableRow"/>
              <w:rPr>
                <w:bCs/>
                <w:iCs/>
                <w:sz w:val="22"/>
              </w:rPr>
            </w:pPr>
            <w:r>
              <w:rPr>
                <w:iCs/>
                <w:sz w:val="22"/>
              </w:rPr>
              <w:t>Pupil conferencing, work scrutiny etc.</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B8B7" w14:textId="464DF534" w:rsidR="00761BD7" w:rsidRDefault="00761BD7" w:rsidP="00761BD7">
            <w:pPr>
              <w:pStyle w:val="TableRowCentered"/>
              <w:jc w:val="left"/>
              <w:rPr>
                <w:sz w:val="22"/>
              </w:rPr>
            </w:pPr>
            <w:r>
              <w:rPr>
                <w:sz w:val="22"/>
              </w:rPr>
              <w:t>EEF linked strategies include: individualised instruction, mentoring, 1:1 and small group tuition, TA interventions and attainment grouping within class (all shown to have a positive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1FDF3" w14:textId="3CD593B8" w:rsidR="00761BD7" w:rsidRDefault="00761BD7" w:rsidP="00761BD7">
            <w:pPr>
              <w:pStyle w:val="TableRowCentered"/>
              <w:jc w:val="left"/>
              <w:rPr>
                <w:sz w:val="22"/>
              </w:rPr>
            </w:pPr>
            <w:r>
              <w:rPr>
                <w:sz w:val="22"/>
              </w:rPr>
              <w:t xml:space="preserve">1 - </w:t>
            </w:r>
            <w:r w:rsidR="000A0263">
              <w:rPr>
                <w:sz w:val="22"/>
              </w:rPr>
              <w:t>4</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0C9AB249" w14:textId="511B2434" w:rsidR="00761BD7" w:rsidRDefault="009D71E8" w:rsidP="00761BD7">
      <w:r>
        <w:t xml:space="preserve">Budgeted cost: </w:t>
      </w:r>
      <w:r w:rsidR="00761BD7" w:rsidRPr="00037517">
        <w:t>£</w:t>
      </w:r>
      <w:r w:rsidR="00A5505F">
        <w:t>17,000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61BD7"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2D281" w14:textId="77777777" w:rsidR="00761BD7" w:rsidRDefault="00761BD7" w:rsidP="00761BD7">
            <w:pPr>
              <w:pStyle w:val="TableRow"/>
              <w:rPr>
                <w:b/>
                <w:bCs/>
                <w:sz w:val="22"/>
                <w:szCs w:val="22"/>
              </w:rPr>
            </w:pPr>
            <w:r>
              <w:rPr>
                <w:b/>
                <w:bCs/>
                <w:sz w:val="22"/>
                <w:szCs w:val="22"/>
              </w:rPr>
              <w:t>Use of Rising Stars Assessments</w:t>
            </w:r>
          </w:p>
          <w:p w14:paraId="2A7D5529" w14:textId="72128D61" w:rsidR="00761BD7" w:rsidRDefault="00761BD7" w:rsidP="00761BD7">
            <w:pPr>
              <w:pStyle w:val="TableRow"/>
            </w:pPr>
            <w:r>
              <w:rPr>
                <w:sz w:val="22"/>
                <w:szCs w:val="22"/>
              </w:rPr>
              <w:t>Termly assessments for all pupils, leading to identification of those children needing additional, focused interventions – programme generated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4CC6BF5E" w:rsidR="00761BD7" w:rsidRDefault="00761BD7" w:rsidP="00761BD7">
            <w:pPr>
              <w:pStyle w:val="TableRowCentered"/>
              <w:jc w:val="left"/>
              <w:rPr>
                <w:sz w:val="22"/>
              </w:rPr>
            </w:pPr>
            <w:r>
              <w:rPr>
                <w:sz w:val="22"/>
              </w:rPr>
              <w:t>EEF research shows moderate impact for TA interventions and individualised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FA8602C" w:rsidR="00761BD7" w:rsidRDefault="00761BD7" w:rsidP="00761BD7">
            <w:pPr>
              <w:pStyle w:val="TableRowCentered"/>
              <w:jc w:val="left"/>
              <w:rPr>
                <w:sz w:val="22"/>
              </w:rPr>
            </w:pPr>
            <w:r>
              <w:rPr>
                <w:sz w:val="22"/>
              </w:rPr>
              <w:t>1, 3</w:t>
            </w:r>
          </w:p>
        </w:tc>
      </w:tr>
      <w:tr w:rsidR="00761BD7"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9EEC" w14:textId="77777777" w:rsidR="00761BD7" w:rsidRPr="0051029D" w:rsidRDefault="00761BD7" w:rsidP="00761BD7">
            <w:pPr>
              <w:pStyle w:val="TableRow"/>
              <w:rPr>
                <w:b/>
                <w:bCs/>
                <w:sz w:val="22"/>
                <w:szCs w:val="22"/>
              </w:rPr>
            </w:pPr>
            <w:r w:rsidRPr="0051029D">
              <w:rPr>
                <w:b/>
                <w:bCs/>
                <w:sz w:val="22"/>
                <w:szCs w:val="22"/>
              </w:rPr>
              <w:t>Teacher led support</w:t>
            </w:r>
          </w:p>
          <w:p w14:paraId="2A7D552D" w14:textId="5969AB82" w:rsidR="00761BD7" w:rsidRDefault="00761BD7" w:rsidP="00761BD7">
            <w:pPr>
              <w:pStyle w:val="TableRow"/>
              <w:rPr>
                <w:i/>
                <w:sz w:val="22"/>
              </w:rPr>
            </w:pPr>
            <w:r>
              <w:rPr>
                <w:szCs w:val="22"/>
              </w:rPr>
              <w:t>Additional experienced teaching staff to support targeted small group teaching in writing and maths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45E58A05" w:rsidR="00761BD7" w:rsidRDefault="00761BD7" w:rsidP="00761BD7">
            <w:pPr>
              <w:pStyle w:val="TableRowCentered"/>
              <w:jc w:val="left"/>
              <w:rPr>
                <w:sz w:val="22"/>
              </w:rPr>
            </w:pPr>
            <w:r>
              <w:rPr>
                <w:sz w:val="22"/>
              </w:rPr>
              <w:t>EEF research shows moderate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1ECBBF5" w:rsidR="00761BD7" w:rsidRDefault="00761BD7" w:rsidP="00761BD7">
            <w:pPr>
              <w:pStyle w:val="TableRowCentered"/>
              <w:jc w:val="left"/>
              <w:rPr>
                <w:sz w:val="22"/>
              </w:rPr>
            </w:pPr>
            <w:r>
              <w:rPr>
                <w:sz w:val="22"/>
              </w:rPr>
              <w:t>1, 3</w:t>
            </w:r>
          </w:p>
        </w:tc>
      </w:tr>
      <w:tr w:rsidR="00761BD7" w14:paraId="66BFE70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BD01" w14:textId="77777777" w:rsidR="00761BD7" w:rsidRPr="0051029D" w:rsidRDefault="00761BD7" w:rsidP="00761BD7">
            <w:pPr>
              <w:pStyle w:val="TableRow"/>
              <w:rPr>
                <w:b/>
                <w:bCs/>
                <w:iCs/>
                <w:sz w:val="22"/>
              </w:rPr>
            </w:pPr>
            <w:r w:rsidRPr="0051029D">
              <w:rPr>
                <w:b/>
                <w:bCs/>
                <w:iCs/>
                <w:sz w:val="22"/>
              </w:rPr>
              <w:lastRenderedPageBreak/>
              <w:t>Phonics</w:t>
            </w:r>
          </w:p>
          <w:p w14:paraId="29919EEC" w14:textId="36BC9D5D" w:rsidR="00761BD7" w:rsidRPr="0051029D" w:rsidRDefault="00761BD7" w:rsidP="00761BD7">
            <w:pPr>
              <w:pStyle w:val="TableRow"/>
              <w:rPr>
                <w:b/>
                <w:bCs/>
                <w:sz w:val="22"/>
                <w:szCs w:val="22"/>
              </w:rPr>
            </w:pPr>
            <w:r w:rsidRPr="0051029D">
              <w:rPr>
                <w:iCs/>
                <w:sz w:val="22"/>
              </w:rPr>
              <w:t>Phonic RWI Intervention for KS2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A9D0C" w14:textId="7CEDD5FE" w:rsidR="00761BD7" w:rsidRDefault="00761BD7" w:rsidP="00761BD7">
            <w:pPr>
              <w:pStyle w:val="TableRowCentered"/>
              <w:jc w:val="left"/>
              <w:rPr>
                <w:sz w:val="22"/>
              </w:rPr>
            </w:pPr>
            <w:r>
              <w:rPr>
                <w:sz w:val="22"/>
              </w:rPr>
              <w:t>EEF Phonic approaches have been consistently found to support children mastering the basics of reading (5+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C2FB" w14:textId="4B376FFA" w:rsidR="00761BD7" w:rsidRDefault="00761BD7" w:rsidP="00761BD7">
            <w:pPr>
              <w:pStyle w:val="TableRowCentered"/>
              <w:jc w:val="left"/>
              <w:rPr>
                <w:sz w:val="22"/>
              </w:rPr>
            </w:pPr>
            <w:r>
              <w:rPr>
                <w:sz w:val="22"/>
              </w:rPr>
              <w:t>1, 3</w:t>
            </w:r>
          </w:p>
        </w:tc>
      </w:tr>
      <w:tr w:rsidR="00761BD7" w14:paraId="7FCFA94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A9A8" w14:textId="77777777" w:rsidR="00761BD7" w:rsidRPr="0051029D" w:rsidRDefault="00761BD7" w:rsidP="00761BD7">
            <w:pPr>
              <w:pStyle w:val="TableRow"/>
              <w:rPr>
                <w:b/>
                <w:bCs/>
                <w:iCs/>
                <w:sz w:val="22"/>
              </w:rPr>
            </w:pPr>
            <w:r w:rsidRPr="0051029D">
              <w:rPr>
                <w:b/>
                <w:bCs/>
                <w:iCs/>
                <w:sz w:val="22"/>
              </w:rPr>
              <w:t>Reading and Maths support</w:t>
            </w:r>
          </w:p>
          <w:p w14:paraId="0925072D" w14:textId="41AC51B8" w:rsidR="00761BD7" w:rsidRPr="0051029D" w:rsidRDefault="00761BD7" w:rsidP="00761BD7">
            <w:pPr>
              <w:pStyle w:val="TableRow"/>
              <w:rPr>
                <w:b/>
                <w:bCs/>
                <w:sz w:val="22"/>
                <w:szCs w:val="22"/>
              </w:rPr>
            </w:pPr>
            <w:r w:rsidRPr="0051029D">
              <w:rPr>
                <w:iCs/>
                <w:sz w:val="22"/>
              </w:rPr>
              <w:t>Before and after school targeted support in reading and maths from Y1 to Y6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E8D2" w14:textId="77777777" w:rsidR="00761BD7" w:rsidRDefault="00761BD7" w:rsidP="00761BD7">
            <w:pPr>
              <w:pStyle w:val="TableRowCentered"/>
              <w:jc w:val="left"/>
              <w:rPr>
                <w:sz w:val="22"/>
              </w:rPr>
            </w:pPr>
            <w:r>
              <w:rPr>
                <w:sz w:val="22"/>
              </w:rPr>
              <w:t>EEF research shows moderate impact</w:t>
            </w:r>
          </w:p>
          <w:p w14:paraId="6C910D75" w14:textId="323B8620" w:rsidR="00761BD7" w:rsidRDefault="00761BD7" w:rsidP="00761BD7">
            <w:pPr>
              <w:pStyle w:val="TableRowCentered"/>
              <w:jc w:val="left"/>
              <w:rPr>
                <w:sz w:val="22"/>
              </w:rPr>
            </w:pPr>
            <w:r>
              <w:rPr>
                <w:sz w:val="22"/>
              </w:rPr>
              <w:t>Internal data indicates gaps in learning to be addressed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1F9E" w14:textId="30953831" w:rsidR="00761BD7" w:rsidRDefault="00761BD7" w:rsidP="00761BD7">
            <w:pPr>
              <w:pStyle w:val="TableRowCentered"/>
              <w:jc w:val="left"/>
              <w:rPr>
                <w:sz w:val="22"/>
              </w:rPr>
            </w:pPr>
            <w:r>
              <w:rPr>
                <w:sz w:val="22"/>
              </w:rPr>
              <w:t>1, 3</w:t>
            </w:r>
          </w:p>
        </w:tc>
      </w:tr>
      <w:tr w:rsidR="00761BD7" w14:paraId="508A398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97CFA" w14:textId="77777777" w:rsidR="00761BD7" w:rsidRDefault="00761BD7" w:rsidP="00761BD7">
            <w:pPr>
              <w:pStyle w:val="TableRow"/>
              <w:rPr>
                <w:b/>
                <w:bCs/>
                <w:iCs/>
                <w:sz w:val="22"/>
              </w:rPr>
            </w:pPr>
            <w:r>
              <w:rPr>
                <w:b/>
                <w:bCs/>
                <w:iCs/>
                <w:sz w:val="22"/>
              </w:rPr>
              <w:t xml:space="preserve">Speech &amp; Language </w:t>
            </w:r>
          </w:p>
          <w:p w14:paraId="3ABB8269" w14:textId="065C601C" w:rsidR="00761BD7" w:rsidRPr="0051029D" w:rsidRDefault="00761BD7" w:rsidP="00761BD7">
            <w:pPr>
              <w:pStyle w:val="TableRow"/>
              <w:rPr>
                <w:b/>
                <w:bCs/>
                <w:sz w:val="22"/>
                <w:szCs w:val="22"/>
              </w:rPr>
            </w:pPr>
            <w:r w:rsidRPr="00371FD7">
              <w:rPr>
                <w:iCs/>
                <w:sz w:val="22"/>
              </w:rPr>
              <w:t xml:space="preserve">Targeted support for children identified with additional speech and language needs via </w:t>
            </w:r>
            <w:r>
              <w:rPr>
                <w:iCs/>
                <w:sz w:val="22"/>
              </w:rPr>
              <w:t>SALT lead and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CB1F" w14:textId="77777777" w:rsidR="00761BD7" w:rsidRDefault="00761BD7" w:rsidP="00761BD7">
            <w:pPr>
              <w:pStyle w:val="TableRowCentered"/>
              <w:jc w:val="left"/>
              <w:rPr>
                <w:sz w:val="22"/>
              </w:rPr>
            </w:pPr>
            <w:r>
              <w:rPr>
                <w:sz w:val="22"/>
              </w:rPr>
              <w:t>EEF research on one to one and small group provision/intervention</w:t>
            </w:r>
          </w:p>
          <w:p w14:paraId="44801989" w14:textId="77777777" w:rsidR="00761BD7" w:rsidRDefault="00761BD7" w:rsidP="00761BD7">
            <w:pPr>
              <w:pStyle w:val="TableRowCentered"/>
              <w:jc w:val="left"/>
              <w:rPr>
                <w:sz w:val="22"/>
              </w:rPr>
            </w:pPr>
            <w:r>
              <w:rPr>
                <w:sz w:val="22"/>
              </w:rPr>
              <w:t>Oral interventions can impact by 6+ months</w:t>
            </w:r>
          </w:p>
          <w:p w14:paraId="4686C7E4" w14:textId="01607C3B" w:rsidR="00761BD7" w:rsidRDefault="00761BD7" w:rsidP="00761BD7">
            <w:pPr>
              <w:pStyle w:val="TableRowCentered"/>
              <w:jc w:val="left"/>
              <w:rPr>
                <w:sz w:val="22"/>
              </w:rPr>
            </w:pPr>
            <w:r>
              <w:rPr>
                <w:sz w:val="22"/>
              </w:rPr>
              <w:t>EEF one to one tuition led by teaching assistants, interventions are likely to be particularly beneficial when the teaching assistants are experienced, well-trained and supported – for example, delivering a structured intervention.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F5630" w14:textId="6D8AA6A4" w:rsidR="00761BD7" w:rsidRDefault="00761BD7" w:rsidP="00761BD7">
            <w:pPr>
              <w:pStyle w:val="TableRowCentered"/>
              <w:jc w:val="left"/>
              <w:rPr>
                <w:sz w:val="22"/>
              </w:rPr>
            </w:pPr>
            <w:r>
              <w:rPr>
                <w:sz w:val="22"/>
              </w:rPr>
              <w:t>2</w:t>
            </w:r>
          </w:p>
        </w:tc>
      </w:tr>
      <w:tr w:rsidR="00761BD7" w14:paraId="1F1E5D4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7DF28" w14:textId="77777777" w:rsidR="00761BD7" w:rsidRDefault="00761BD7" w:rsidP="00761BD7">
            <w:pPr>
              <w:pStyle w:val="TableRow"/>
              <w:rPr>
                <w:b/>
                <w:bCs/>
                <w:iCs/>
                <w:sz w:val="22"/>
              </w:rPr>
            </w:pPr>
            <w:r>
              <w:rPr>
                <w:b/>
                <w:bCs/>
                <w:iCs/>
                <w:sz w:val="22"/>
              </w:rPr>
              <w:t>Intervention programmes</w:t>
            </w:r>
          </w:p>
          <w:p w14:paraId="48C16FDD" w14:textId="43A8F765" w:rsidR="00761BD7" w:rsidRPr="0051029D" w:rsidRDefault="00761BD7" w:rsidP="00761BD7">
            <w:pPr>
              <w:pStyle w:val="TableRow"/>
              <w:rPr>
                <w:b/>
                <w:bCs/>
                <w:sz w:val="22"/>
                <w:szCs w:val="22"/>
              </w:rPr>
            </w:pPr>
            <w:r>
              <w:rPr>
                <w:iCs/>
                <w:sz w:val="22"/>
              </w:rPr>
              <w:t>Provide targeted, structured interventions e.g. Accelerated Maths, Accelerated Reader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7ACE4" w14:textId="77777777" w:rsidR="00761BD7" w:rsidRDefault="00761BD7" w:rsidP="00761BD7">
            <w:pPr>
              <w:pStyle w:val="TableRowCentered"/>
              <w:jc w:val="left"/>
              <w:rPr>
                <w:sz w:val="22"/>
              </w:rPr>
            </w:pPr>
            <w:r>
              <w:rPr>
                <w:sz w:val="22"/>
              </w:rPr>
              <w:t>Step by step approach, filling the gaps in a child’s knowledge.</w:t>
            </w:r>
          </w:p>
          <w:p w14:paraId="3FED5CBC" w14:textId="41208071" w:rsidR="00761BD7" w:rsidRDefault="00761BD7" w:rsidP="00761BD7">
            <w:pPr>
              <w:pStyle w:val="TableRowCentered"/>
              <w:jc w:val="left"/>
              <w:rPr>
                <w:sz w:val="22"/>
              </w:rPr>
            </w:pPr>
            <w:r>
              <w:rPr>
                <w:sz w:val="22"/>
              </w:rPr>
              <w:t>Internal data and information show children working below expected have specific gaps in knowledge.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B5DE9" w14:textId="16EC522F" w:rsidR="00761BD7" w:rsidRDefault="00761BD7" w:rsidP="00761BD7">
            <w:pPr>
              <w:pStyle w:val="TableRowCentered"/>
              <w:jc w:val="left"/>
              <w:rPr>
                <w:sz w:val="22"/>
              </w:rPr>
            </w:pPr>
            <w:r>
              <w:rPr>
                <w:sz w:val="22"/>
              </w:rPr>
              <w:t>1, 2. 3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7D749C0" w:rsidR="00E66558" w:rsidRDefault="009D71E8">
      <w:pPr>
        <w:spacing w:before="240" w:after="120"/>
      </w:pPr>
      <w:r>
        <w:t xml:space="preserve">Budgeted cost: £ </w:t>
      </w:r>
      <w:r w:rsidR="006E1F0C">
        <w:rPr>
          <w:i/>
          <w:iCs/>
        </w:rPr>
        <w:t>8980</w:t>
      </w:r>
    </w:p>
    <w:tbl>
      <w:tblPr>
        <w:tblW w:w="5000" w:type="pct"/>
        <w:tblCellMar>
          <w:left w:w="10" w:type="dxa"/>
          <w:right w:w="10" w:type="dxa"/>
        </w:tblCellMar>
        <w:tblLook w:val="04A0" w:firstRow="1" w:lastRow="0" w:firstColumn="1" w:lastColumn="0" w:noHBand="0" w:noVBand="1"/>
      </w:tblPr>
      <w:tblGrid>
        <w:gridCol w:w="2384"/>
        <w:gridCol w:w="5063"/>
        <w:gridCol w:w="2039"/>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761BD7"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33F27" w14:textId="77777777" w:rsidR="00761BD7" w:rsidRPr="00A02FD8" w:rsidRDefault="00761BD7" w:rsidP="00761BD7">
            <w:pPr>
              <w:pStyle w:val="TableRow"/>
              <w:rPr>
                <w:b/>
                <w:bCs/>
                <w:sz w:val="22"/>
                <w:szCs w:val="22"/>
              </w:rPr>
            </w:pPr>
            <w:r w:rsidRPr="00A02FD8">
              <w:rPr>
                <w:b/>
                <w:bCs/>
                <w:sz w:val="22"/>
                <w:szCs w:val="22"/>
              </w:rPr>
              <w:t>Attendance Support</w:t>
            </w:r>
          </w:p>
          <w:p w14:paraId="7E7A9D8C" w14:textId="77777777" w:rsidR="00761BD7" w:rsidRPr="00A02FD8" w:rsidRDefault="00761BD7" w:rsidP="00761BD7">
            <w:pPr>
              <w:pStyle w:val="TableRow"/>
              <w:rPr>
                <w:sz w:val="22"/>
                <w:szCs w:val="20"/>
              </w:rPr>
            </w:pPr>
            <w:r w:rsidRPr="00A02FD8">
              <w:rPr>
                <w:sz w:val="22"/>
                <w:szCs w:val="20"/>
              </w:rPr>
              <w:t>Attendance and inclusion team SLA</w:t>
            </w:r>
          </w:p>
          <w:p w14:paraId="40FAF0A8" w14:textId="77777777" w:rsidR="00761BD7" w:rsidRPr="00A02FD8" w:rsidRDefault="00761BD7" w:rsidP="00761BD7">
            <w:pPr>
              <w:pStyle w:val="TableRow"/>
              <w:rPr>
                <w:sz w:val="22"/>
                <w:szCs w:val="22"/>
              </w:rPr>
            </w:pPr>
            <w:r w:rsidRPr="00A02FD8">
              <w:rPr>
                <w:sz w:val="22"/>
                <w:szCs w:val="22"/>
              </w:rPr>
              <w:t>Targeted work with families</w:t>
            </w:r>
          </w:p>
          <w:p w14:paraId="2A7D5538" w14:textId="75EF2CFA" w:rsidR="00761BD7" w:rsidRDefault="00761BD7" w:rsidP="00761BD7">
            <w:pPr>
              <w:pStyle w:val="TableRow"/>
            </w:pPr>
            <w:r w:rsidRPr="00037517">
              <w:rPr>
                <w:sz w:val="22"/>
                <w:szCs w:val="22"/>
              </w:rPr>
              <w:t>Wellbeing Lead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D6BC0" w14:textId="77777777" w:rsidR="00761BD7" w:rsidRDefault="00761BD7" w:rsidP="00761BD7">
            <w:pPr>
              <w:pStyle w:val="TableRowCentered"/>
              <w:jc w:val="left"/>
              <w:rPr>
                <w:sz w:val="22"/>
              </w:rPr>
            </w:pPr>
            <w:r>
              <w:rPr>
                <w:sz w:val="22"/>
              </w:rPr>
              <w:t>Deployment of staff to support families to improve attendance and eradicate persistent absenteeism see</w:t>
            </w:r>
          </w:p>
          <w:p w14:paraId="793BAB8B" w14:textId="77777777" w:rsidR="00761BD7" w:rsidRDefault="006E1F0C" w:rsidP="00761BD7">
            <w:pPr>
              <w:pStyle w:val="TableRowCentered"/>
              <w:jc w:val="left"/>
              <w:rPr>
                <w:sz w:val="22"/>
              </w:rPr>
            </w:pPr>
            <w:hyperlink r:id="rId9" w:history="1">
              <w:r w:rsidR="00761BD7" w:rsidRPr="00815F69">
                <w:rPr>
                  <w:rStyle w:val="Hyperlink"/>
                  <w:sz w:val="22"/>
                </w:rPr>
                <w:t>https://www.gov.uk/government/publications/the-pupil-premium-how-schools-are-spending-the-funding-successfully</w:t>
              </w:r>
            </w:hyperlink>
            <w:r w:rsidR="00761BD7">
              <w:rPr>
                <w:sz w:val="22"/>
              </w:rPr>
              <w:t xml:space="preserve"> </w:t>
            </w:r>
          </w:p>
          <w:p w14:paraId="2A7D5539" w14:textId="0130EB03" w:rsidR="00761BD7" w:rsidRDefault="00761BD7" w:rsidP="00761BD7">
            <w:pPr>
              <w:pStyle w:val="TableRowCentered"/>
              <w:jc w:val="left"/>
              <w:rPr>
                <w:sz w:val="22"/>
              </w:rPr>
            </w:pPr>
            <w:r>
              <w:rPr>
                <w:sz w:val="22"/>
              </w:rPr>
              <w:t>EEF - personalised planning is proved to be effective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11AD041" w:rsidR="00761BD7" w:rsidRDefault="00761BD7" w:rsidP="00761BD7">
            <w:pPr>
              <w:pStyle w:val="TableRowCentered"/>
              <w:jc w:val="left"/>
              <w:rPr>
                <w:sz w:val="22"/>
              </w:rPr>
            </w:pPr>
            <w:r>
              <w:rPr>
                <w:sz w:val="22"/>
              </w:rPr>
              <w:t>4</w:t>
            </w:r>
          </w:p>
        </w:tc>
      </w:tr>
      <w:tr w:rsidR="00761BD7" w14:paraId="4C07CD8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6EFF9" w14:textId="77777777" w:rsidR="00761BD7" w:rsidRPr="00FB4D71" w:rsidRDefault="00761BD7" w:rsidP="00761BD7">
            <w:pPr>
              <w:pStyle w:val="TableRow"/>
              <w:rPr>
                <w:b/>
                <w:bCs/>
                <w:sz w:val="22"/>
              </w:rPr>
            </w:pPr>
            <w:r w:rsidRPr="00FB4D71">
              <w:rPr>
                <w:b/>
                <w:bCs/>
                <w:sz w:val="22"/>
              </w:rPr>
              <w:t>Family support for vulnerable families and children</w:t>
            </w:r>
          </w:p>
          <w:p w14:paraId="66E7FC5F" w14:textId="4AC0F3EE" w:rsidR="00761BD7" w:rsidRDefault="00761BD7" w:rsidP="00761BD7">
            <w:pPr>
              <w:pStyle w:val="TableRow"/>
              <w:rPr>
                <w:i/>
                <w:iCs/>
                <w:sz w:val="22"/>
                <w:szCs w:val="22"/>
              </w:rPr>
            </w:pPr>
            <w:r>
              <w:rPr>
                <w:sz w:val="22"/>
              </w:rPr>
              <w:t xml:space="preserve">Provided by DSL/DT, </w:t>
            </w:r>
            <w:proofErr w:type="spellStart"/>
            <w:r>
              <w:rPr>
                <w:sz w:val="22"/>
              </w:rPr>
              <w:t>SENCo</w:t>
            </w:r>
            <w:proofErr w:type="spellEnd"/>
            <w:r>
              <w:rPr>
                <w:sz w:val="22"/>
              </w:rPr>
              <w:t xml:space="preserve"> and family support workers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ACE72" w14:textId="77777777" w:rsidR="00761BD7" w:rsidRDefault="00761BD7" w:rsidP="00761BD7">
            <w:pPr>
              <w:pStyle w:val="TableRowCentered"/>
              <w:jc w:val="left"/>
              <w:rPr>
                <w:sz w:val="22"/>
              </w:rPr>
            </w:pPr>
            <w:r>
              <w:rPr>
                <w:sz w:val="22"/>
              </w:rPr>
              <w:t>EEF – social and emotional learning can impact on pupil progress 4+ months</w:t>
            </w:r>
          </w:p>
          <w:p w14:paraId="6CC9C75D" w14:textId="21AED537" w:rsidR="00761BD7" w:rsidRDefault="00761BD7" w:rsidP="00761BD7">
            <w:pPr>
              <w:pStyle w:val="TableRowCentered"/>
              <w:jc w:val="left"/>
              <w:rPr>
                <w:sz w:val="22"/>
              </w:rPr>
            </w:pPr>
            <w:r>
              <w:rPr>
                <w:sz w:val="22"/>
              </w:rPr>
              <w:t xml:space="preserve">DFE guidance following </w:t>
            </w:r>
            <w:proofErr w:type="spellStart"/>
            <w:r>
              <w:rPr>
                <w:sz w:val="22"/>
              </w:rPr>
              <w:t>Covid</w:t>
            </w:r>
            <w:proofErr w:type="spellEnd"/>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87C" w14:textId="7E8BE9D1" w:rsidR="00761BD7" w:rsidRDefault="00761BD7" w:rsidP="00761BD7">
            <w:pPr>
              <w:pStyle w:val="TableRowCentered"/>
              <w:jc w:val="left"/>
              <w:rPr>
                <w:sz w:val="22"/>
              </w:rPr>
            </w:pPr>
            <w:r>
              <w:rPr>
                <w:sz w:val="22"/>
              </w:rPr>
              <w:t>4</w:t>
            </w:r>
          </w:p>
        </w:tc>
      </w:tr>
      <w:tr w:rsidR="00761BD7" w14:paraId="7E8611B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384A0" w14:textId="77777777" w:rsidR="00761BD7" w:rsidRPr="00FB4D71" w:rsidRDefault="00761BD7" w:rsidP="00761BD7">
            <w:pPr>
              <w:pStyle w:val="TableRow"/>
              <w:rPr>
                <w:b/>
                <w:bCs/>
                <w:sz w:val="22"/>
              </w:rPr>
            </w:pPr>
            <w:r w:rsidRPr="00FB4D71">
              <w:rPr>
                <w:b/>
                <w:bCs/>
                <w:sz w:val="22"/>
              </w:rPr>
              <w:lastRenderedPageBreak/>
              <w:t>SEMH provision</w:t>
            </w:r>
          </w:p>
          <w:p w14:paraId="67C3990F" w14:textId="77777777" w:rsidR="00761BD7" w:rsidRDefault="00761BD7" w:rsidP="00761BD7">
            <w:pPr>
              <w:pStyle w:val="TableRow"/>
              <w:rPr>
                <w:sz w:val="22"/>
              </w:rPr>
            </w:pPr>
            <w:r>
              <w:rPr>
                <w:sz w:val="22"/>
              </w:rPr>
              <w:t>Including 2 x ELSAs, nurture intervention</w:t>
            </w:r>
          </w:p>
          <w:p w14:paraId="3D9E193D" w14:textId="55D3B15C" w:rsidR="00761BD7" w:rsidRDefault="00761BD7" w:rsidP="00761BD7">
            <w:pPr>
              <w:pStyle w:val="TableRow"/>
              <w:rPr>
                <w:i/>
                <w:iCs/>
                <w:sz w:val="22"/>
                <w:szCs w:val="22"/>
              </w:rPr>
            </w:pPr>
            <w:r>
              <w:rPr>
                <w:sz w:val="22"/>
              </w:rPr>
              <w:t>SCARF resources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804B8" w14:textId="77777777" w:rsidR="00761BD7" w:rsidRDefault="00761BD7" w:rsidP="00761BD7">
            <w:pPr>
              <w:pStyle w:val="TableRowCentered"/>
              <w:jc w:val="left"/>
              <w:rPr>
                <w:sz w:val="22"/>
              </w:rPr>
            </w:pPr>
            <w:r>
              <w:rPr>
                <w:sz w:val="22"/>
              </w:rPr>
              <w:t>EEF – social and emotional learning can impact on pupil progress 4+ months</w:t>
            </w:r>
          </w:p>
          <w:p w14:paraId="753AFBEB" w14:textId="77777777" w:rsidR="00761BD7" w:rsidRDefault="00761BD7" w:rsidP="00761BD7">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6080" w14:textId="0BA2201F" w:rsidR="00761BD7" w:rsidRDefault="000A0263" w:rsidP="00761BD7">
            <w:pPr>
              <w:pStyle w:val="TableRowCentered"/>
              <w:jc w:val="left"/>
              <w:rPr>
                <w:sz w:val="22"/>
              </w:rPr>
            </w:pPr>
            <w:r>
              <w:rPr>
                <w:sz w:val="22"/>
              </w:rPr>
              <w:t>4</w:t>
            </w:r>
          </w:p>
        </w:tc>
      </w:tr>
      <w:tr w:rsidR="00761BD7"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594A1" w14:textId="77777777" w:rsidR="00761BD7" w:rsidRPr="00FB4D71" w:rsidRDefault="00761BD7" w:rsidP="00761BD7">
            <w:pPr>
              <w:pStyle w:val="TableRow"/>
              <w:rPr>
                <w:b/>
                <w:bCs/>
                <w:sz w:val="22"/>
              </w:rPr>
            </w:pPr>
            <w:r w:rsidRPr="00FB4D71">
              <w:rPr>
                <w:b/>
                <w:bCs/>
                <w:sz w:val="22"/>
              </w:rPr>
              <w:t>Inclusion Funding</w:t>
            </w:r>
          </w:p>
          <w:p w14:paraId="43E3CC44" w14:textId="77777777" w:rsidR="00761BD7" w:rsidRDefault="00761BD7" w:rsidP="00761BD7">
            <w:pPr>
              <w:pStyle w:val="TableRow"/>
              <w:rPr>
                <w:sz w:val="22"/>
              </w:rPr>
            </w:pPr>
            <w:r>
              <w:rPr>
                <w:sz w:val="22"/>
              </w:rPr>
              <w:t>Financial support for voluntary activities</w:t>
            </w:r>
          </w:p>
          <w:p w14:paraId="15201636" w14:textId="77777777" w:rsidR="00761BD7" w:rsidRDefault="00761BD7" w:rsidP="00761BD7">
            <w:pPr>
              <w:pStyle w:val="TableRow"/>
              <w:rPr>
                <w:sz w:val="22"/>
              </w:rPr>
            </w:pPr>
            <w:r>
              <w:rPr>
                <w:sz w:val="22"/>
              </w:rPr>
              <w:t>Enrichment/extra-curricular activities</w:t>
            </w:r>
          </w:p>
          <w:p w14:paraId="0B00D05D" w14:textId="77777777" w:rsidR="00761BD7" w:rsidRDefault="00761BD7" w:rsidP="00761BD7">
            <w:pPr>
              <w:pStyle w:val="TableRow"/>
              <w:rPr>
                <w:sz w:val="22"/>
              </w:rPr>
            </w:pPr>
            <w:r>
              <w:rPr>
                <w:sz w:val="22"/>
              </w:rPr>
              <w:t>Residentials/visits</w:t>
            </w:r>
          </w:p>
          <w:p w14:paraId="2A7D553C" w14:textId="394642D9" w:rsidR="00761BD7" w:rsidRDefault="00761BD7" w:rsidP="00761BD7">
            <w:pPr>
              <w:pStyle w:val="TableRow"/>
              <w:rPr>
                <w:i/>
                <w:sz w:val="22"/>
              </w:rPr>
            </w:pPr>
            <w:r>
              <w:rPr>
                <w:sz w:val="22"/>
              </w:rPr>
              <w:t>Purchasing school uniform, equipment etc.</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F481C" w14:textId="77777777" w:rsidR="00761BD7" w:rsidRDefault="00761BD7" w:rsidP="00761BD7">
            <w:pPr>
              <w:pStyle w:val="TableRowCentered"/>
              <w:jc w:val="left"/>
              <w:rPr>
                <w:sz w:val="22"/>
              </w:rPr>
            </w:pPr>
            <w:r>
              <w:rPr>
                <w:sz w:val="22"/>
              </w:rPr>
              <w:t>All children have equal opportunities.</w:t>
            </w:r>
          </w:p>
          <w:p w14:paraId="48FE4CBD" w14:textId="77777777" w:rsidR="00761BD7" w:rsidRDefault="00761BD7" w:rsidP="00761BD7">
            <w:pPr>
              <w:pStyle w:val="TableRowCentered"/>
              <w:jc w:val="left"/>
              <w:rPr>
                <w:sz w:val="22"/>
              </w:rPr>
            </w:pPr>
            <w:r>
              <w:rPr>
                <w:sz w:val="22"/>
              </w:rPr>
              <w:t>Research shows that pupils taking part in extra-curricular/curriculum enhancement activities have a greater sense of self-worth, develop stronger social skills and become more resilient learners.</w:t>
            </w:r>
          </w:p>
          <w:p w14:paraId="2A7D553D" w14:textId="5ED2BE15" w:rsidR="00761BD7" w:rsidRDefault="00761BD7" w:rsidP="00761BD7">
            <w:pPr>
              <w:pStyle w:val="TableRowCentered"/>
              <w:jc w:val="left"/>
              <w:rPr>
                <w:sz w:val="22"/>
              </w:rPr>
            </w:pPr>
            <w:r>
              <w:rPr>
                <w:sz w:val="22"/>
              </w:rPr>
              <w:t>Pupils are given opportunities to access activities which will engage and inspire them.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5B70D91" w:rsidR="00761BD7" w:rsidRDefault="000A0263" w:rsidP="00761BD7">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01AE502B" w:rsidR="00E66558" w:rsidRDefault="009D71E8" w:rsidP="00120AB1">
      <w:r>
        <w:rPr>
          <w:b/>
          <w:bCs/>
          <w:color w:val="104F75"/>
          <w:sz w:val="28"/>
          <w:szCs w:val="28"/>
        </w:rPr>
        <w:t xml:space="preserve">Total budgeted cost: £ </w:t>
      </w:r>
      <w:r w:rsidR="006E1F0C">
        <w:rPr>
          <w:b/>
          <w:bCs/>
          <w:color w:val="104F75"/>
          <w:sz w:val="28"/>
          <w:szCs w:val="28"/>
        </w:rPr>
        <w:t>47980</w:t>
      </w:r>
      <w:bookmarkStart w:id="17" w:name="_GoBack"/>
      <w:bookmarkEnd w:id="17"/>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2F56112E" w:rsidR="00E66558" w:rsidRDefault="009D71E8">
      <w:r>
        <w:t xml:space="preserve">This details the impact that our pupil premium activity had on pupils in the </w:t>
      </w:r>
      <w:r w:rsidR="009055EE">
        <w:t>202</w:t>
      </w:r>
      <w:r w:rsidR="00A5505F">
        <w:t>3</w:t>
      </w:r>
      <w:r w:rsidR="009055EE">
        <w:t>-202</w:t>
      </w:r>
      <w:r w:rsidR="00A5505F">
        <w:t>4</w:t>
      </w:r>
      <w:r w:rsidR="00761BD7">
        <w:t xml:space="preserve"> </w:t>
      </w:r>
      <w:r>
        <w:t xml:space="preserve">academic year. </w:t>
      </w:r>
    </w:p>
    <w:tbl>
      <w:tblPr>
        <w:tblStyle w:val="TableGrid"/>
        <w:tblW w:w="9334" w:type="dxa"/>
        <w:tblLook w:val="04A0" w:firstRow="1" w:lastRow="0" w:firstColumn="1" w:lastColumn="0" w:noHBand="0" w:noVBand="1"/>
      </w:tblPr>
      <w:tblGrid>
        <w:gridCol w:w="1577"/>
        <w:gridCol w:w="1167"/>
        <w:gridCol w:w="2199"/>
        <w:gridCol w:w="2193"/>
        <w:gridCol w:w="2198"/>
      </w:tblGrid>
      <w:tr w:rsidR="001B2689" w14:paraId="3221AEC6" w14:textId="77777777" w:rsidTr="001B2689">
        <w:trPr>
          <w:trHeight w:val="92"/>
        </w:trPr>
        <w:tc>
          <w:tcPr>
            <w:tcW w:w="2744" w:type="dxa"/>
            <w:gridSpan w:val="2"/>
          </w:tcPr>
          <w:p w14:paraId="0EDCD15F" w14:textId="77777777" w:rsidR="001B2689" w:rsidRPr="001B2689" w:rsidRDefault="001B2689" w:rsidP="00B64E8F">
            <w:pPr>
              <w:pStyle w:val="TableRow"/>
              <w:ind w:left="0"/>
              <w:rPr>
                <w:rFonts w:cstheme="minorHAnsi"/>
                <w:b/>
                <w:sz w:val="18"/>
              </w:rPr>
            </w:pPr>
          </w:p>
        </w:tc>
        <w:tc>
          <w:tcPr>
            <w:tcW w:w="2199" w:type="dxa"/>
          </w:tcPr>
          <w:p w14:paraId="4858D558" w14:textId="445A499E" w:rsidR="001B2689" w:rsidRPr="001B2689" w:rsidRDefault="001B2689" w:rsidP="00B64E8F">
            <w:pPr>
              <w:jc w:val="center"/>
              <w:rPr>
                <w:rFonts w:cstheme="minorHAnsi"/>
                <w:b/>
                <w:sz w:val="18"/>
              </w:rPr>
            </w:pPr>
            <w:r w:rsidRPr="001B2689">
              <w:rPr>
                <w:rFonts w:cstheme="minorHAnsi"/>
                <w:b/>
                <w:sz w:val="18"/>
              </w:rPr>
              <w:t>Autumn 202</w:t>
            </w:r>
            <w:r w:rsidR="00A5505F">
              <w:rPr>
                <w:rFonts w:cstheme="minorHAnsi"/>
                <w:b/>
                <w:sz w:val="18"/>
              </w:rPr>
              <w:t>3</w:t>
            </w:r>
            <w:r w:rsidRPr="001B2689">
              <w:rPr>
                <w:rFonts w:cstheme="minorHAnsi"/>
                <w:b/>
                <w:sz w:val="18"/>
              </w:rPr>
              <w:t xml:space="preserve"> – based on 39 </w:t>
            </w:r>
            <w:proofErr w:type="spellStart"/>
            <w:r w:rsidRPr="001B2689">
              <w:rPr>
                <w:rFonts w:cstheme="minorHAnsi"/>
                <w:b/>
                <w:sz w:val="18"/>
              </w:rPr>
              <w:t>chn</w:t>
            </w:r>
            <w:proofErr w:type="spellEnd"/>
          </w:p>
          <w:p w14:paraId="12FD74C7" w14:textId="77777777" w:rsidR="001B2689" w:rsidRPr="001B2689" w:rsidRDefault="001B2689" w:rsidP="00B64E8F">
            <w:pPr>
              <w:jc w:val="center"/>
              <w:rPr>
                <w:rFonts w:cstheme="minorHAnsi"/>
                <w:b/>
                <w:sz w:val="18"/>
              </w:rPr>
            </w:pPr>
            <w:r w:rsidRPr="001B2689">
              <w:rPr>
                <w:rFonts w:cstheme="minorHAnsi"/>
                <w:b/>
                <w:sz w:val="18"/>
              </w:rPr>
              <w:t>(y1-y6)</w:t>
            </w:r>
          </w:p>
        </w:tc>
        <w:tc>
          <w:tcPr>
            <w:tcW w:w="2193" w:type="dxa"/>
          </w:tcPr>
          <w:p w14:paraId="2075A7AC" w14:textId="2DD40A55" w:rsidR="001B2689" w:rsidRPr="001B2689" w:rsidRDefault="001B2689" w:rsidP="00B64E8F">
            <w:pPr>
              <w:jc w:val="center"/>
              <w:rPr>
                <w:rFonts w:cstheme="minorHAnsi"/>
                <w:b/>
                <w:sz w:val="18"/>
              </w:rPr>
            </w:pPr>
            <w:r w:rsidRPr="001B2689">
              <w:rPr>
                <w:rFonts w:cstheme="minorHAnsi"/>
                <w:b/>
                <w:sz w:val="18"/>
              </w:rPr>
              <w:t>Spring 202</w:t>
            </w:r>
            <w:r w:rsidR="00A5505F">
              <w:rPr>
                <w:rFonts w:cstheme="minorHAnsi"/>
                <w:b/>
                <w:sz w:val="18"/>
              </w:rPr>
              <w:t>4</w:t>
            </w:r>
            <w:r w:rsidRPr="001B2689">
              <w:rPr>
                <w:rFonts w:cstheme="minorHAnsi"/>
                <w:b/>
                <w:sz w:val="18"/>
              </w:rPr>
              <w:t xml:space="preserve"> – based on 37 </w:t>
            </w:r>
            <w:proofErr w:type="spellStart"/>
            <w:r w:rsidRPr="001B2689">
              <w:rPr>
                <w:rFonts w:cstheme="minorHAnsi"/>
                <w:b/>
                <w:sz w:val="18"/>
              </w:rPr>
              <w:t>chn</w:t>
            </w:r>
            <w:proofErr w:type="spellEnd"/>
          </w:p>
          <w:p w14:paraId="5CAE3FDC" w14:textId="77777777" w:rsidR="001B2689" w:rsidRPr="001B2689" w:rsidRDefault="001B2689" w:rsidP="00B64E8F">
            <w:pPr>
              <w:jc w:val="center"/>
              <w:rPr>
                <w:rFonts w:cstheme="minorHAnsi"/>
                <w:b/>
                <w:sz w:val="18"/>
              </w:rPr>
            </w:pPr>
            <w:r w:rsidRPr="001B2689">
              <w:rPr>
                <w:rFonts w:cstheme="minorHAnsi"/>
                <w:b/>
                <w:sz w:val="18"/>
              </w:rPr>
              <w:t>(y1-y6)</w:t>
            </w:r>
          </w:p>
        </w:tc>
        <w:tc>
          <w:tcPr>
            <w:tcW w:w="2198" w:type="dxa"/>
          </w:tcPr>
          <w:p w14:paraId="7FFB4CE0" w14:textId="3B314C8D" w:rsidR="001B2689" w:rsidRPr="001B2689" w:rsidRDefault="001B2689" w:rsidP="001B2689">
            <w:pPr>
              <w:rPr>
                <w:rFonts w:cstheme="minorHAnsi"/>
                <w:b/>
                <w:sz w:val="18"/>
              </w:rPr>
            </w:pPr>
            <w:r w:rsidRPr="001B2689">
              <w:rPr>
                <w:rFonts w:cstheme="minorHAnsi"/>
                <w:b/>
                <w:sz w:val="18"/>
              </w:rPr>
              <w:t>Summer 202</w:t>
            </w:r>
            <w:r w:rsidR="00A5505F">
              <w:rPr>
                <w:rFonts w:cstheme="minorHAnsi"/>
                <w:b/>
                <w:sz w:val="18"/>
              </w:rPr>
              <w:t>5</w:t>
            </w:r>
            <w:r w:rsidRPr="001B2689">
              <w:rPr>
                <w:rFonts w:cstheme="minorHAnsi"/>
                <w:b/>
                <w:sz w:val="18"/>
              </w:rPr>
              <w:t xml:space="preserve"> –based on 37 </w:t>
            </w:r>
            <w:proofErr w:type="spellStart"/>
            <w:r w:rsidRPr="001B2689">
              <w:rPr>
                <w:rFonts w:cstheme="minorHAnsi"/>
                <w:b/>
                <w:sz w:val="18"/>
              </w:rPr>
              <w:t>chn</w:t>
            </w:r>
            <w:proofErr w:type="spellEnd"/>
          </w:p>
          <w:p w14:paraId="23D4B49D" w14:textId="66C13C43" w:rsidR="001B2689" w:rsidRPr="001B2689" w:rsidRDefault="001B2689" w:rsidP="001B2689">
            <w:pPr>
              <w:jc w:val="center"/>
              <w:rPr>
                <w:rFonts w:cstheme="minorHAnsi"/>
                <w:b/>
                <w:sz w:val="18"/>
              </w:rPr>
            </w:pPr>
            <w:r w:rsidRPr="001B2689">
              <w:rPr>
                <w:rFonts w:cstheme="minorHAnsi"/>
                <w:b/>
                <w:sz w:val="18"/>
              </w:rPr>
              <w:t>(y1-y6)</w:t>
            </w:r>
          </w:p>
        </w:tc>
      </w:tr>
      <w:tr w:rsidR="001B2689" w14:paraId="60DAB5AC" w14:textId="77777777" w:rsidTr="001B2689">
        <w:trPr>
          <w:trHeight w:val="465"/>
        </w:trPr>
        <w:tc>
          <w:tcPr>
            <w:tcW w:w="1577" w:type="dxa"/>
            <w:vMerge w:val="restart"/>
          </w:tcPr>
          <w:p w14:paraId="513A9D32" w14:textId="77777777" w:rsidR="001B2689" w:rsidRPr="001B2689" w:rsidRDefault="001B2689" w:rsidP="00B64E8F">
            <w:pPr>
              <w:rPr>
                <w:rFonts w:cstheme="minorHAnsi"/>
                <w:b/>
                <w:sz w:val="18"/>
              </w:rPr>
            </w:pPr>
            <w:r w:rsidRPr="001B2689">
              <w:rPr>
                <w:rFonts w:cstheme="minorHAnsi"/>
                <w:b/>
                <w:sz w:val="18"/>
              </w:rPr>
              <w:t xml:space="preserve">% of PP pupils working at or above expected Y1-Y6 (not incl. Nursery and R) </w:t>
            </w:r>
          </w:p>
          <w:p w14:paraId="50AD7B01" w14:textId="77777777" w:rsidR="001B2689" w:rsidRPr="001B2689" w:rsidRDefault="001B2689" w:rsidP="00B64E8F">
            <w:pPr>
              <w:rPr>
                <w:rFonts w:cstheme="minorHAnsi"/>
                <w:b/>
                <w:sz w:val="18"/>
              </w:rPr>
            </w:pPr>
          </w:p>
        </w:tc>
        <w:tc>
          <w:tcPr>
            <w:tcW w:w="1167" w:type="dxa"/>
          </w:tcPr>
          <w:p w14:paraId="2A54A829" w14:textId="77777777" w:rsidR="001B2689" w:rsidRPr="001B2689" w:rsidRDefault="001B2689" w:rsidP="001B2689">
            <w:pPr>
              <w:pStyle w:val="TableRow"/>
              <w:ind w:left="0"/>
              <w:jc w:val="center"/>
              <w:rPr>
                <w:rFonts w:cstheme="minorHAnsi"/>
                <w:b/>
                <w:sz w:val="18"/>
              </w:rPr>
            </w:pPr>
            <w:r w:rsidRPr="001B2689">
              <w:rPr>
                <w:rFonts w:cstheme="minorHAnsi"/>
                <w:b/>
                <w:sz w:val="18"/>
              </w:rPr>
              <w:t>Reading</w:t>
            </w:r>
          </w:p>
        </w:tc>
        <w:tc>
          <w:tcPr>
            <w:tcW w:w="2199" w:type="dxa"/>
          </w:tcPr>
          <w:p w14:paraId="0CC3FBB9" w14:textId="77777777" w:rsidR="001B2689" w:rsidRPr="001B2689" w:rsidRDefault="001B2689" w:rsidP="001B2689">
            <w:pPr>
              <w:jc w:val="center"/>
              <w:rPr>
                <w:rFonts w:cstheme="minorHAnsi"/>
                <w:sz w:val="18"/>
              </w:rPr>
            </w:pPr>
            <w:r w:rsidRPr="001B2689">
              <w:rPr>
                <w:rFonts w:cstheme="minorHAnsi"/>
                <w:sz w:val="18"/>
              </w:rPr>
              <w:t>EXS10%</w:t>
            </w:r>
          </w:p>
          <w:p w14:paraId="559C9EFB" w14:textId="77777777" w:rsidR="001B2689" w:rsidRPr="001B2689" w:rsidRDefault="001B2689" w:rsidP="001B2689">
            <w:pPr>
              <w:jc w:val="center"/>
              <w:rPr>
                <w:rFonts w:cstheme="minorHAnsi"/>
                <w:sz w:val="18"/>
              </w:rPr>
            </w:pPr>
            <w:r w:rsidRPr="001B2689">
              <w:rPr>
                <w:rFonts w:cstheme="minorHAnsi"/>
                <w:sz w:val="18"/>
              </w:rPr>
              <w:t>GDS 0%</w:t>
            </w:r>
          </w:p>
        </w:tc>
        <w:tc>
          <w:tcPr>
            <w:tcW w:w="2193" w:type="dxa"/>
          </w:tcPr>
          <w:p w14:paraId="748BD48E" w14:textId="77777777" w:rsidR="001B2689" w:rsidRPr="001B2689" w:rsidRDefault="001B2689" w:rsidP="001B2689">
            <w:pPr>
              <w:jc w:val="center"/>
              <w:rPr>
                <w:rFonts w:cstheme="minorHAnsi"/>
                <w:sz w:val="18"/>
              </w:rPr>
            </w:pPr>
            <w:r w:rsidRPr="001B2689">
              <w:rPr>
                <w:rFonts w:cstheme="minorHAnsi"/>
                <w:sz w:val="18"/>
              </w:rPr>
              <w:t>EXS 35%</w:t>
            </w:r>
          </w:p>
          <w:p w14:paraId="33662F77" w14:textId="77777777" w:rsidR="001B2689" w:rsidRPr="001B2689" w:rsidRDefault="001B2689" w:rsidP="001B2689">
            <w:pPr>
              <w:jc w:val="center"/>
              <w:rPr>
                <w:rFonts w:cstheme="minorHAnsi"/>
                <w:sz w:val="18"/>
              </w:rPr>
            </w:pPr>
            <w:r w:rsidRPr="001B2689">
              <w:rPr>
                <w:rFonts w:cstheme="minorHAnsi"/>
                <w:sz w:val="18"/>
              </w:rPr>
              <w:t>GDS 10%</w:t>
            </w:r>
          </w:p>
        </w:tc>
        <w:tc>
          <w:tcPr>
            <w:tcW w:w="2198" w:type="dxa"/>
          </w:tcPr>
          <w:p w14:paraId="30524521" w14:textId="0A167E0D" w:rsidR="001B2689" w:rsidRPr="001B2689" w:rsidRDefault="001B2689" w:rsidP="001B2689">
            <w:pPr>
              <w:jc w:val="center"/>
              <w:rPr>
                <w:rFonts w:cstheme="minorHAnsi"/>
                <w:sz w:val="18"/>
              </w:rPr>
            </w:pPr>
            <w:r w:rsidRPr="001B2689">
              <w:rPr>
                <w:rFonts w:cstheme="minorHAnsi"/>
                <w:sz w:val="18"/>
              </w:rPr>
              <w:t>EXS 42%</w:t>
            </w:r>
          </w:p>
          <w:p w14:paraId="7237C703" w14:textId="27AAD051" w:rsidR="001B2689" w:rsidRPr="001B2689" w:rsidRDefault="001B2689" w:rsidP="001B2689">
            <w:pPr>
              <w:jc w:val="center"/>
              <w:rPr>
                <w:rFonts w:cstheme="minorHAnsi"/>
                <w:sz w:val="18"/>
              </w:rPr>
            </w:pPr>
            <w:r w:rsidRPr="001B2689">
              <w:rPr>
                <w:rFonts w:cstheme="minorHAnsi"/>
                <w:sz w:val="18"/>
              </w:rPr>
              <w:t>GDS 13%</w:t>
            </w:r>
          </w:p>
        </w:tc>
      </w:tr>
      <w:tr w:rsidR="001B2689" w14:paraId="33837ED8" w14:textId="77777777" w:rsidTr="001B2689">
        <w:trPr>
          <w:trHeight w:val="239"/>
        </w:trPr>
        <w:tc>
          <w:tcPr>
            <w:tcW w:w="1577" w:type="dxa"/>
            <w:vMerge/>
          </w:tcPr>
          <w:p w14:paraId="417883CA" w14:textId="77777777" w:rsidR="001B2689" w:rsidRPr="001B2689" w:rsidRDefault="001B2689" w:rsidP="00B64E8F">
            <w:pPr>
              <w:rPr>
                <w:rFonts w:cstheme="minorHAnsi"/>
                <w:b/>
                <w:sz w:val="18"/>
              </w:rPr>
            </w:pPr>
          </w:p>
        </w:tc>
        <w:tc>
          <w:tcPr>
            <w:tcW w:w="1167" w:type="dxa"/>
          </w:tcPr>
          <w:p w14:paraId="4764C356" w14:textId="606BC66F" w:rsidR="001B2689" w:rsidRPr="001B2689" w:rsidRDefault="001B2689" w:rsidP="001B2689">
            <w:pPr>
              <w:jc w:val="center"/>
              <w:rPr>
                <w:rFonts w:cstheme="minorHAnsi"/>
                <w:b/>
                <w:sz w:val="18"/>
              </w:rPr>
            </w:pPr>
            <w:r w:rsidRPr="001B2689">
              <w:rPr>
                <w:rFonts w:cstheme="minorHAnsi"/>
                <w:b/>
                <w:sz w:val="18"/>
              </w:rPr>
              <w:t>Writing</w:t>
            </w:r>
          </w:p>
        </w:tc>
        <w:tc>
          <w:tcPr>
            <w:tcW w:w="2199" w:type="dxa"/>
          </w:tcPr>
          <w:p w14:paraId="7FA683BE" w14:textId="77777777" w:rsidR="001B2689" w:rsidRPr="001B2689" w:rsidRDefault="001B2689" w:rsidP="001B2689">
            <w:pPr>
              <w:jc w:val="center"/>
              <w:rPr>
                <w:rFonts w:cstheme="minorHAnsi"/>
                <w:sz w:val="18"/>
              </w:rPr>
            </w:pPr>
            <w:r w:rsidRPr="001B2689">
              <w:rPr>
                <w:rFonts w:cstheme="minorHAnsi"/>
                <w:sz w:val="18"/>
              </w:rPr>
              <w:t>EXS 25.6%</w:t>
            </w:r>
          </w:p>
          <w:p w14:paraId="3219177F" w14:textId="77777777" w:rsidR="001B2689" w:rsidRPr="001B2689" w:rsidRDefault="001B2689" w:rsidP="001B2689">
            <w:pPr>
              <w:jc w:val="center"/>
              <w:rPr>
                <w:rFonts w:cstheme="minorHAnsi"/>
                <w:sz w:val="18"/>
              </w:rPr>
            </w:pPr>
            <w:r w:rsidRPr="001B2689">
              <w:rPr>
                <w:rFonts w:cstheme="minorHAnsi"/>
                <w:sz w:val="18"/>
              </w:rPr>
              <w:t>GDS 0%</w:t>
            </w:r>
          </w:p>
        </w:tc>
        <w:tc>
          <w:tcPr>
            <w:tcW w:w="2193" w:type="dxa"/>
          </w:tcPr>
          <w:p w14:paraId="07A72634" w14:textId="77777777" w:rsidR="001B2689" w:rsidRPr="001B2689" w:rsidRDefault="001B2689" w:rsidP="001B2689">
            <w:pPr>
              <w:jc w:val="center"/>
              <w:rPr>
                <w:rFonts w:cstheme="minorHAnsi"/>
                <w:sz w:val="18"/>
              </w:rPr>
            </w:pPr>
            <w:r w:rsidRPr="001B2689">
              <w:rPr>
                <w:rFonts w:cstheme="minorHAnsi"/>
                <w:sz w:val="18"/>
              </w:rPr>
              <w:t>EXS 24.3%</w:t>
            </w:r>
          </w:p>
          <w:p w14:paraId="32713BCF" w14:textId="77777777" w:rsidR="001B2689" w:rsidRPr="001B2689" w:rsidRDefault="001B2689" w:rsidP="001B2689">
            <w:pPr>
              <w:jc w:val="center"/>
              <w:rPr>
                <w:rFonts w:cstheme="minorHAnsi"/>
                <w:sz w:val="18"/>
              </w:rPr>
            </w:pPr>
            <w:r w:rsidRPr="001B2689">
              <w:rPr>
                <w:rFonts w:cstheme="minorHAnsi"/>
                <w:sz w:val="18"/>
              </w:rPr>
              <w:t>GDS 5.4%</w:t>
            </w:r>
          </w:p>
        </w:tc>
        <w:tc>
          <w:tcPr>
            <w:tcW w:w="2198" w:type="dxa"/>
          </w:tcPr>
          <w:p w14:paraId="3A2C86C5" w14:textId="641607AD" w:rsidR="001B2689" w:rsidRPr="001B2689" w:rsidRDefault="001B2689" w:rsidP="001B2689">
            <w:pPr>
              <w:jc w:val="center"/>
              <w:rPr>
                <w:rFonts w:cstheme="minorHAnsi"/>
                <w:sz w:val="18"/>
              </w:rPr>
            </w:pPr>
            <w:r w:rsidRPr="001B2689">
              <w:rPr>
                <w:rFonts w:cstheme="minorHAnsi"/>
                <w:sz w:val="18"/>
              </w:rPr>
              <w:t>EXS 28%</w:t>
            </w:r>
          </w:p>
          <w:p w14:paraId="3D104067" w14:textId="1EDD8A26" w:rsidR="001B2689" w:rsidRPr="001B2689" w:rsidRDefault="001B2689" w:rsidP="001B2689">
            <w:pPr>
              <w:jc w:val="center"/>
              <w:rPr>
                <w:rFonts w:cstheme="minorHAnsi"/>
                <w:sz w:val="18"/>
              </w:rPr>
            </w:pPr>
            <w:r w:rsidRPr="001B2689">
              <w:rPr>
                <w:rFonts w:cstheme="minorHAnsi"/>
                <w:sz w:val="18"/>
              </w:rPr>
              <w:t>GDS 7%</w:t>
            </w:r>
          </w:p>
        </w:tc>
      </w:tr>
      <w:tr w:rsidR="001B2689" w14:paraId="395B6AED" w14:textId="77777777" w:rsidTr="001B2689">
        <w:trPr>
          <w:trHeight w:val="90"/>
        </w:trPr>
        <w:tc>
          <w:tcPr>
            <w:tcW w:w="1577" w:type="dxa"/>
            <w:vMerge/>
          </w:tcPr>
          <w:p w14:paraId="56A5ECA0" w14:textId="77777777" w:rsidR="001B2689" w:rsidRPr="001B2689" w:rsidRDefault="001B2689" w:rsidP="00B64E8F">
            <w:pPr>
              <w:rPr>
                <w:rFonts w:cstheme="minorHAnsi"/>
                <w:b/>
                <w:sz w:val="18"/>
              </w:rPr>
            </w:pPr>
          </w:p>
        </w:tc>
        <w:tc>
          <w:tcPr>
            <w:tcW w:w="1167" w:type="dxa"/>
          </w:tcPr>
          <w:p w14:paraId="36738CE5" w14:textId="21A88284" w:rsidR="001B2689" w:rsidRPr="001B2689" w:rsidRDefault="001B2689" w:rsidP="001B2689">
            <w:pPr>
              <w:jc w:val="center"/>
              <w:rPr>
                <w:rFonts w:cstheme="minorHAnsi"/>
                <w:b/>
                <w:sz w:val="18"/>
              </w:rPr>
            </w:pPr>
            <w:r w:rsidRPr="001B2689">
              <w:rPr>
                <w:rFonts w:cstheme="minorHAnsi"/>
                <w:b/>
                <w:sz w:val="18"/>
              </w:rPr>
              <w:t>Maths</w:t>
            </w:r>
          </w:p>
        </w:tc>
        <w:tc>
          <w:tcPr>
            <w:tcW w:w="2199" w:type="dxa"/>
          </w:tcPr>
          <w:p w14:paraId="09F0EDB5" w14:textId="77777777" w:rsidR="001B2689" w:rsidRPr="001B2689" w:rsidRDefault="001B2689" w:rsidP="001B2689">
            <w:pPr>
              <w:jc w:val="center"/>
              <w:rPr>
                <w:rFonts w:cstheme="minorHAnsi"/>
                <w:sz w:val="18"/>
              </w:rPr>
            </w:pPr>
            <w:r w:rsidRPr="001B2689">
              <w:rPr>
                <w:rFonts w:cstheme="minorHAnsi"/>
                <w:sz w:val="18"/>
              </w:rPr>
              <w:t>EXS 33.3%</w:t>
            </w:r>
          </w:p>
          <w:p w14:paraId="7ADBFB49" w14:textId="77777777" w:rsidR="001B2689" w:rsidRPr="001B2689" w:rsidRDefault="001B2689" w:rsidP="001B2689">
            <w:pPr>
              <w:jc w:val="center"/>
              <w:rPr>
                <w:rFonts w:cstheme="minorHAnsi"/>
                <w:sz w:val="18"/>
              </w:rPr>
            </w:pPr>
            <w:r w:rsidRPr="001B2689">
              <w:rPr>
                <w:rFonts w:cstheme="minorHAnsi"/>
                <w:sz w:val="18"/>
              </w:rPr>
              <w:t>GDS 0%</w:t>
            </w:r>
          </w:p>
        </w:tc>
        <w:tc>
          <w:tcPr>
            <w:tcW w:w="2193" w:type="dxa"/>
          </w:tcPr>
          <w:p w14:paraId="64442B1C" w14:textId="77777777" w:rsidR="001B2689" w:rsidRPr="001B2689" w:rsidRDefault="001B2689" w:rsidP="001B2689">
            <w:pPr>
              <w:jc w:val="center"/>
              <w:rPr>
                <w:rFonts w:cstheme="minorHAnsi"/>
                <w:sz w:val="18"/>
              </w:rPr>
            </w:pPr>
            <w:r w:rsidRPr="001B2689">
              <w:rPr>
                <w:rFonts w:cstheme="minorHAnsi"/>
                <w:sz w:val="18"/>
              </w:rPr>
              <w:t>EXS 32.4%</w:t>
            </w:r>
          </w:p>
          <w:p w14:paraId="2636BA4C" w14:textId="77777777" w:rsidR="001B2689" w:rsidRPr="001B2689" w:rsidRDefault="001B2689" w:rsidP="001B2689">
            <w:pPr>
              <w:jc w:val="center"/>
              <w:rPr>
                <w:rFonts w:cstheme="minorHAnsi"/>
                <w:sz w:val="18"/>
              </w:rPr>
            </w:pPr>
            <w:r w:rsidRPr="001B2689">
              <w:rPr>
                <w:rFonts w:cstheme="minorHAnsi"/>
                <w:sz w:val="18"/>
              </w:rPr>
              <w:t>GDS 5.4%</w:t>
            </w:r>
          </w:p>
        </w:tc>
        <w:tc>
          <w:tcPr>
            <w:tcW w:w="2198" w:type="dxa"/>
          </w:tcPr>
          <w:p w14:paraId="4941C32B" w14:textId="77777777" w:rsidR="001B2689" w:rsidRPr="001B2689" w:rsidRDefault="001B2689" w:rsidP="001B2689">
            <w:pPr>
              <w:jc w:val="center"/>
              <w:rPr>
                <w:rFonts w:cstheme="minorHAnsi"/>
                <w:sz w:val="18"/>
              </w:rPr>
            </w:pPr>
            <w:r w:rsidRPr="001B2689">
              <w:rPr>
                <w:rFonts w:cstheme="minorHAnsi"/>
                <w:sz w:val="18"/>
              </w:rPr>
              <w:t>EXS 35%</w:t>
            </w:r>
          </w:p>
          <w:p w14:paraId="1C95C962" w14:textId="4E007A17" w:rsidR="001B2689" w:rsidRPr="001B2689" w:rsidRDefault="001B2689" w:rsidP="001B2689">
            <w:pPr>
              <w:jc w:val="center"/>
              <w:rPr>
                <w:rFonts w:cstheme="minorHAnsi"/>
                <w:sz w:val="18"/>
              </w:rPr>
            </w:pPr>
            <w:r w:rsidRPr="001B2689">
              <w:rPr>
                <w:rFonts w:cstheme="minorHAnsi"/>
                <w:sz w:val="18"/>
              </w:rPr>
              <w:t>GDS 12%</w:t>
            </w:r>
          </w:p>
        </w:tc>
      </w:tr>
      <w:bookmarkEnd w:id="14"/>
      <w:bookmarkEnd w:id="15"/>
      <w:bookmarkEnd w:id="16"/>
    </w:tbl>
    <w:p w14:paraId="2A7D5564" w14:textId="5057F770" w:rsidR="00E66558" w:rsidRDefault="00E66558"/>
    <w:p w14:paraId="03CFB535" w14:textId="77777777" w:rsidR="00A5505F" w:rsidRPr="00A5505F" w:rsidRDefault="00A5505F" w:rsidP="00A5505F">
      <w:pPr>
        <w:pStyle w:val="ListParagraph"/>
        <w:numPr>
          <w:ilvl w:val="0"/>
          <w:numId w:val="19"/>
        </w:numPr>
        <w:spacing w:after="0" w:line="240" w:lineRule="auto"/>
        <w:rPr>
          <w:rFonts w:ascii="SassoonCRInfant" w:hAnsi="SassoonCRInfant"/>
          <w:b/>
          <w:sz w:val="28"/>
        </w:rPr>
      </w:pPr>
      <w:r w:rsidRPr="00A5505F">
        <w:rPr>
          <w:rFonts w:ascii="SassoonCRInfant" w:hAnsi="SassoonCRInfant"/>
          <w:b/>
          <w:sz w:val="28"/>
        </w:rPr>
        <w:t xml:space="preserve">100% of PP pupils made expected progress or better </w:t>
      </w:r>
    </w:p>
    <w:p w14:paraId="5267649B" w14:textId="1FE95A2E" w:rsidR="00A5505F" w:rsidRPr="00A5505F" w:rsidRDefault="00A5505F" w:rsidP="00A5505F">
      <w:pPr>
        <w:pStyle w:val="ListParagraph"/>
        <w:numPr>
          <w:ilvl w:val="0"/>
          <w:numId w:val="18"/>
        </w:numPr>
        <w:spacing w:after="0" w:line="240" w:lineRule="auto"/>
        <w:rPr>
          <w:rFonts w:ascii="SassoonCRInfant" w:hAnsi="SassoonCRInfant"/>
          <w:sz w:val="28"/>
        </w:rPr>
      </w:pPr>
      <w:r w:rsidRPr="00A5505F">
        <w:rPr>
          <w:rFonts w:ascii="SassoonCRInfant" w:hAnsi="SassoonCRInfant"/>
          <w:sz w:val="28"/>
        </w:rPr>
        <w:t xml:space="preserve">28.6% of PP pupils made accelerated progress </w:t>
      </w:r>
    </w:p>
    <w:p w14:paraId="638B6A8B" w14:textId="77777777" w:rsidR="00A5505F" w:rsidRPr="00A5505F" w:rsidRDefault="00A5505F" w:rsidP="00A5505F">
      <w:pPr>
        <w:pStyle w:val="ListParagraph"/>
        <w:numPr>
          <w:ilvl w:val="0"/>
          <w:numId w:val="17"/>
        </w:numPr>
        <w:spacing w:after="0" w:line="240" w:lineRule="auto"/>
        <w:rPr>
          <w:rFonts w:ascii="SassoonCRInfant" w:hAnsi="SassoonCRInfant"/>
          <w:b/>
          <w:sz w:val="28"/>
        </w:rPr>
      </w:pPr>
      <w:r w:rsidRPr="00A5505F">
        <w:rPr>
          <w:rFonts w:ascii="SassoonCRInfant" w:hAnsi="SassoonCRInfant"/>
          <w:sz w:val="28"/>
        </w:rPr>
        <w:t>(B -&gt; WTS, WTS -&gt; EXS or EXS -&gt; GDS)</w:t>
      </w:r>
    </w:p>
    <w:p w14:paraId="33780F22" w14:textId="77777777" w:rsidR="00A5505F" w:rsidRPr="00A5505F" w:rsidRDefault="00A5505F" w:rsidP="00A5505F">
      <w:pPr>
        <w:pStyle w:val="ListParagraph"/>
        <w:numPr>
          <w:ilvl w:val="0"/>
          <w:numId w:val="17"/>
        </w:numPr>
        <w:spacing w:after="0" w:line="240" w:lineRule="auto"/>
        <w:rPr>
          <w:sz w:val="28"/>
        </w:rPr>
      </w:pPr>
      <w:r w:rsidRPr="00A5505F">
        <w:rPr>
          <w:rFonts w:ascii="SassoonCRInfant" w:hAnsi="SassoonCRInfant"/>
          <w:b/>
          <w:sz w:val="28"/>
        </w:rPr>
        <w:t xml:space="preserve">51.4% </w:t>
      </w:r>
      <w:r w:rsidRPr="00A5505F">
        <w:rPr>
          <w:rFonts w:ascii="SassoonCRInfant" w:hAnsi="SassoonCRInfant"/>
          <w:sz w:val="28"/>
        </w:rPr>
        <w:t xml:space="preserve">of PP pupils maintained or improved their attendance </w:t>
      </w:r>
    </w:p>
    <w:p w14:paraId="59BC6CA9" w14:textId="721F38BA" w:rsidR="001B2689" w:rsidRPr="00A5505F" w:rsidRDefault="00A5505F" w:rsidP="00A5505F">
      <w:pPr>
        <w:pStyle w:val="ListParagraph"/>
        <w:numPr>
          <w:ilvl w:val="0"/>
          <w:numId w:val="17"/>
        </w:numPr>
        <w:spacing w:after="0" w:line="240" w:lineRule="auto"/>
        <w:rPr>
          <w:sz w:val="28"/>
        </w:rPr>
      </w:pPr>
      <w:r w:rsidRPr="00A5505F">
        <w:rPr>
          <w:rFonts w:ascii="SassoonCRInfant" w:hAnsi="SassoonCRInfant"/>
          <w:b/>
          <w:sz w:val="28"/>
        </w:rPr>
        <w:t xml:space="preserve">34.3% </w:t>
      </w:r>
      <w:r w:rsidRPr="00A5505F">
        <w:rPr>
          <w:rFonts w:ascii="SassoonCRInfant" w:hAnsi="SassoonCRInfant"/>
          <w:sz w:val="28"/>
        </w:rPr>
        <w:t xml:space="preserve">of PP pupils have concerning levels of attendance (below 90%), these are considered persistent absentees </w:t>
      </w:r>
      <w:r>
        <w:rPr>
          <w:rFonts w:ascii="SassoonCRInfant" w:hAnsi="SassoonCRInfant"/>
          <w:sz w:val="28"/>
        </w:rPr>
        <w:t xml:space="preserve">and attendance policy is implemented. </w:t>
      </w:r>
    </w:p>
    <w:sectPr w:rsidR="001B2689" w:rsidRPr="00A5505F">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0B7B7" w14:textId="77777777" w:rsidR="00A32BF9" w:rsidRDefault="00A32BF9">
      <w:pPr>
        <w:spacing w:after="0" w:line="240" w:lineRule="auto"/>
      </w:pPr>
      <w:r>
        <w:separator/>
      </w:r>
    </w:p>
  </w:endnote>
  <w:endnote w:type="continuationSeparator" w:id="0">
    <w:p w14:paraId="29BA43F9" w14:textId="77777777" w:rsidR="00A32BF9" w:rsidRDefault="00A3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CRInfant">
    <w:altName w:val="Calibri"/>
    <w:panose1 w:val="02010503020300020003"/>
    <w:charset w:val="00"/>
    <w:family w:val="auto"/>
    <w:pitch w:val="variable"/>
    <w:sig w:usb0="A00000AF" w:usb1="1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A32BF9" w:rsidRDefault="00A32BF9">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66F38" w14:textId="77777777" w:rsidR="00A32BF9" w:rsidRDefault="00A32BF9">
      <w:pPr>
        <w:spacing w:after="0" w:line="240" w:lineRule="auto"/>
      </w:pPr>
      <w:r>
        <w:separator/>
      </w:r>
    </w:p>
  </w:footnote>
  <w:footnote w:type="continuationSeparator" w:id="0">
    <w:p w14:paraId="5A18C0B1" w14:textId="77777777" w:rsidR="00A32BF9" w:rsidRDefault="00A32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A32BF9" w:rsidRDefault="00A32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4C85"/>
    <w:multiLevelType w:val="hybridMultilevel"/>
    <w:tmpl w:val="C1FE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B0E2D65"/>
    <w:multiLevelType w:val="multilevel"/>
    <w:tmpl w:val="843A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4A5183C"/>
    <w:multiLevelType w:val="hybridMultilevel"/>
    <w:tmpl w:val="C55A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A922BE2"/>
    <w:multiLevelType w:val="hybridMultilevel"/>
    <w:tmpl w:val="5D3A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0343D0C"/>
    <w:multiLevelType w:val="hybridMultilevel"/>
    <w:tmpl w:val="852A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6F7E16B9"/>
    <w:multiLevelType w:val="hybridMultilevel"/>
    <w:tmpl w:val="BA12F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3"/>
  </w:num>
  <w:num w:numId="3">
    <w:abstractNumId w:val="7"/>
  </w:num>
  <w:num w:numId="4">
    <w:abstractNumId w:val="8"/>
  </w:num>
  <w:num w:numId="5">
    <w:abstractNumId w:val="1"/>
  </w:num>
  <w:num w:numId="6">
    <w:abstractNumId w:val="10"/>
  </w:num>
  <w:num w:numId="7">
    <w:abstractNumId w:val="13"/>
  </w:num>
  <w:num w:numId="8">
    <w:abstractNumId w:val="18"/>
  </w:num>
  <w:num w:numId="9">
    <w:abstractNumId w:val="16"/>
  </w:num>
  <w:num w:numId="10">
    <w:abstractNumId w:val="14"/>
  </w:num>
  <w:num w:numId="11">
    <w:abstractNumId w:val="4"/>
  </w:num>
  <w:num w:numId="12">
    <w:abstractNumId w:val="17"/>
  </w:num>
  <w:num w:numId="13">
    <w:abstractNumId w:val="12"/>
  </w:num>
  <w:num w:numId="14">
    <w:abstractNumId w:val="0"/>
  </w:num>
  <w:num w:numId="15">
    <w:abstractNumId w:val="15"/>
  </w:num>
  <w:num w:numId="16">
    <w:abstractNumId w:val="2"/>
  </w:num>
  <w:num w:numId="17">
    <w:abstractNumId w:val="9"/>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3B4"/>
    <w:rsid w:val="00066B73"/>
    <w:rsid w:val="000A0263"/>
    <w:rsid w:val="00120AB1"/>
    <w:rsid w:val="00153676"/>
    <w:rsid w:val="00196AEE"/>
    <w:rsid w:val="001B2689"/>
    <w:rsid w:val="002456C2"/>
    <w:rsid w:val="0037437C"/>
    <w:rsid w:val="004044AA"/>
    <w:rsid w:val="004A194A"/>
    <w:rsid w:val="005A35A0"/>
    <w:rsid w:val="00634238"/>
    <w:rsid w:val="00635FBC"/>
    <w:rsid w:val="00645FA0"/>
    <w:rsid w:val="006E1F0C"/>
    <w:rsid w:val="006E6B4A"/>
    <w:rsid w:val="006E7FB1"/>
    <w:rsid w:val="00702AEB"/>
    <w:rsid w:val="00741B9E"/>
    <w:rsid w:val="00761BD7"/>
    <w:rsid w:val="007C2F04"/>
    <w:rsid w:val="009055EE"/>
    <w:rsid w:val="009D71E8"/>
    <w:rsid w:val="00A32BF9"/>
    <w:rsid w:val="00A5505F"/>
    <w:rsid w:val="00B64E8F"/>
    <w:rsid w:val="00D06874"/>
    <w:rsid w:val="00D33FE5"/>
    <w:rsid w:val="00DC22AE"/>
    <w:rsid w:val="00E66558"/>
    <w:rsid w:val="00ED011E"/>
    <w:rsid w:val="00EF4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1B2689"/>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uidance/pupil-premium-effective-use-and-accountabil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the-pupil-premium-how-schools-are-spending-the-funding-successfu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Ms Stanton</cp:lastModifiedBy>
  <cp:revision>3</cp:revision>
  <cp:lastPrinted>2014-09-17T13:26:00Z</cp:lastPrinted>
  <dcterms:created xsi:type="dcterms:W3CDTF">2024-12-09T13:55:00Z</dcterms:created>
  <dcterms:modified xsi:type="dcterms:W3CDTF">2026-06-09T14:19:00Z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